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4CC81C3" Type="http://schemas.openxmlformats.org/officeDocument/2006/relationships/officeDocument" Target="/word/document.xml" /><Relationship Id="coreR64CC81C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 związku z rozpoczęciem nowej kadencji Rady Miejskiej w Sępólnie Krajeńskim, na podstawie  §2 ust.2 rozporządzenia Ministra Spraw Wewnętrznych i Administracji z dnia 31 lipca 2000r. w sprawie sposobu ustalania należności z tytułu zwrotu kosztów podróży służbowych radnych gminy, Rada Miejska w Sępólnie Krajeńskim stosowną uchwałą wskazuje Wiceprzewodniczącą Rady jako właściwą do wystawiania polecenia wyjazdu służbowego dla Przewodniczącego Rady Miejskiej.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uzyskał pozytywną opinię Komisji Statutowej i Pomocy Społecznej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2024-05-31T14:29:30Z</dcterms:created>
  <cp:lastModifiedBy>HOST-13\Frosina</cp:lastModifiedBy>
  <dcterms:modified xsi:type="dcterms:W3CDTF">2024-06-03T06:22:46Z</dcterms:modified>
  <cp:revision>4</cp:revision>
  <dc:subject>w sprawie wskazania Wiceprzewodniczącego Rady Miejskiej w Sępólnie Krajeńskim do dokonywania czynności w zakresie  podróży służbowych Przewodniczącego Rady Miejskiej w Sępólnie Krajeńskim</dc:subject>
  <dc:title>Uchwała Nr II/17/2024 z dnia 29 maja 2024 r.</dc:title>
</cp:coreProperties>
</file>