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2A8A6A" Type="http://schemas.openxmlformats.org/officeDocument/2006/relationships/officeDocument" Target="/word/document.xml" /><Relationship Id="coreR582A8A6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Wypełniając zapisy art. 271 ustawy o finansach publicznych Rada Miejska po zapoznaniu się z: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1) sprawozdaniem z wykonania budżetu za 2023 rok,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 sprawozdaniem finansowym,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 opinią Regionalnej Izby Obrachunkowej w Bydgoszczy,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4) informacją o stanie mienia Gminy,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5) pozytywnym stanowiskiem Komisji Rewizyjnej, Rady Miejskiej w Sępólnie Krajeńskim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udziela Burmistrzowi Sępólna Krajeńskiego absolutorium z tytułu wykonania budżetu za rok 2023.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Projekt uchwały został przedstawiony na wszystkich komisjach Rady Miejskiej w Sępólnie Krajeńskim i uzyskał pozytywną opinię.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2024-05-31T10:16:33Z</dcterms:created>
  <cp:lastModifiedBy>HOST-13\Frosina</cp:lastModifiedBy>
  <dcterms:modified xsi:type="dcterms:W3CDTF">2024-06-03T06:19:26Z</dcterms:modified>
  <cp:revision>3</cp:revision>
  <dc:subject>w sprawie udzielenia Burmistrzowi Sępólna Krajeńskiego absolutorium z tytułu wykonania budżetu za 2023 rok</dc:subject>
  <dc:title>Uchwała Nr II/13/2024 z dnia 29 maja 2024 r.</dc:title>
</cp:coreProperties>
</file>