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BA14A8C" Type="http://schemas.openxmlformats.org/officeDocument/2006/relationships/officeDocument" Target="/word/document.xml" /><Relationship Id="coreR7BA14A8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treścią art. 21 ust. 1 ustawy z dnia 8 marca o samorządzie gminnym rada gminy może powoływać stałe i doraźne komisje do określonych zadań, ustalając zakres działania a także skład osobowy.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Wobec powyższego podjęcie niniejszej uchwały jest uzasadnione.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2024-05-09T13:23:35Z</dcterms:created>
  <cp:lastModifiedBy>HOST-13\Frosina</cp:lastModifiedBy>
  <dcterms:modified xsi:type="dcterms:W3CDTF">2024-05-09T11:23:48Z</dcterms:modified>
  <cp:revision>2</cp:revision>
  <dc:subject>w sprawie powołania stałej Komisji Gospodarki Komunalnej oraz Porządku Publicznego</dc:subject>
  <dc:title>Uchwała Nr I/6/2024 z dnia 7 maja 2024 r.</dc:title>
</cp:coreProperties>
</file>