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1310A38" Type="http://schemas.openxmlformats.org/officeDocument/2006/relationships/officeDocument" Target="/word/document.xml" /><Relationship Id="coreR51310A38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1"/>
        <w:keepLines w:val="1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Zgodnie z art. 229 pkt 3 ustawy z dnia 14 czerwca 1960 r. Kodeks postepowania administracyjnego (t.j.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 xml:space="preserve"> </w:t>
      </w:r>
      <w:r>
        <w:t>Dz.U.</w:t>
      </w:r>
      <w:r>
        <w:rPr>
          <w:lang w:val="pl-PL" w:bidi="pl-PL" w:eastAsia="pl-PL"/>
        </w:rPr>
        <w:t xml:space="preserve"> </w:t>
      </w:r>
      <w:r>
        <w:rPr>
          <w:rFonts w:ascii="Times New Roman" w:hAnsi="Times New Roman"/>
          <w:b w:val="0"/>
          <w:caps w:val="0"/>
          <w:sz w:val="22"/>
        </w:rPr>
        <w:t>z 2023 r., poz. 775, ze zm.) organem właściwym do rozpatrzenia skargi na kierownika gminnej jednostki organizacyjnej jest Rada Miejska. W związku z powyższym przygotowano projekt niniejszej uchwały.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 Miejskiej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SIGNATURE_0_0_TITLE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inż.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Franciszek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Lesinski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Dix</dc:creator>
  <dcterms:created xsi:type="dcterms:W3CDTF">2024-03-28T08:31:33Z</dcterms:created>
  <cp:lastModifiedBy>HOST-13\Frosina</cp:lastModifiedBy>
  <dcterms:modified xsi:type="dcterms:W3CDTF">2024-03-29T08:19:10Z</dcterms:modified>
  <cp:revision>7</cp:revision>
  <dc:subject>w sprawie pozostawienia bez rozpoznania anonimowej skargi</dc:subject>
  <dc:title>Uchwała Nr LXVI/603/2024 z dnia 27 marca 2024 r.</dc:title>
</cp:coreProperties>
</file>