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924CBDC" Type="http://schemas.openxmlformats.org/officeDocument/2006/relationships/officeDocument" Target="/word/document.xml" /><Relationship Id="coreR5924CBD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</w:rPr>
        <w:t>Stosownie do treści art. 15 Ustawy z dnia 12 stycznia 1991 r. o podatkach i opłatach lokalnych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(t.j. Dz.U. z 2023 r., poz. 70, 1313, 2291)</w:t>
      </w:r>
      <w:r>
        <w:rPr>
          <w:rFonts w:ascii="Times New Roman" w:hAnsi="Times New Roman"/>
          <w:b w:val="0"/>
          <w:caps w:val="0"/>
          <w:sz w:val="22"/>
        </w:rPr>
        <w:t xml:space="preserve">,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odpowiednia rada</w:t>
      </w:r>
      <w:r>
        <w:rPr>
          <w:rFonts w:ascii="Times New Roman" w:hAnsi="Times New Roman"/>
          <w:b w:val="0"/>
          <w:caps w:val="0"/>
          <w:sz w:val="22"/>
        </w:rPr>
        <w:t xml:space="preserve"> w drodze uchwały, może wprowadzić opłatę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 xml:space="preserve">targową.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Obowiązek pobierania opłaty targowej przestał mieć obligatoryjny charakter wynikający wprost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 ustawy, co oznacza, że możliwość pobierania przez Gminę opłaty targowej wymaga podjęcia przez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radę uchwały w sprawie jej wprowadzenia, czyli wskazania, że rada gminy wyraża wolę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wprowadzenia opłaty targowej na terenie miasta.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2024-01-11T08:40:43Z</dcterms:created>
  <cp:lastModifiedBy>HOST-13\Frosina</cp:lastModifiedBy>
  <dcterms:modified xsi:type="dcterms:W3CDTF">2024-01-31T14:06:04Z</dcterms:modified>
  <cp:revision>17</cp:revision>
  <dc:subject>w sprawie wprowadzenia opłaty targowej, określenia jej wysokości oraz zarządzenia jej poboru w drodze inkasa</dc:subject>
  <dc:title>Uchwała Nr .../.../2024 z dnia 31 stycznia 2024 r.</dc:title>
</cp:coreProperties>
</file>