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1976AD" Type="http://schemas.openxmlformats.org/officeDocument/2006/relationships/officeDocument" Target="/word/document.xml" /><Relationship Id="coreR301976A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Do załącznika nr 1 Wieloletniej Prognozy Finansowej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1)Wieloletnia Prognoza Finansowa zawiera obligatoryjne elementy określone w art. 226 ust. 1 i 2 ustawy o finansach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2)Wzrost dochodów i wydatków w latach 2023 - 2033 przyjęto głównie na poziomie 7,8% na podstawie danych Ministerstwa Finansów oraz analizy własnej budżetów z lat poprzednich.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3)Spłaty zobowiązań ustalono na podstawie zawartych umów, odsetki od nich oszacowano na podstawie analizy własnej.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 wydatkach bieżących na obsługę długu w latach objętych prognozą ujęto tylko odsetki od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5)Przeznacza się nadwyżkę budżetową na spłaty zobowiązań w latach kolejnych.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6)Planowane dochody ze sprzedaży majątku obejmują  w roku 2023 - sprzedaż działek i lokali.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7)Prognozę kwoty długu sporządzono w oparciu o zawarte umowy pożyczkowe i kredytowe oraz przewidywane do zaciągnięcia zobowiązania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8)Planowane dochody majątkowe w 2023 roku dotyczą dofinansowania zadań w ramach RFPŁ, RFIL, RPO WK-P oraz PROW na lata 2014-2020, realizowanych w oparciu o podpisane umowy o dofinansowanie i promesy.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9)Planowane wydatki inwestycyjne w 2023 roku stanowią ponad  25% wydatków ogółem. Prognoza wydatków inwestycyjnych na kolejne lata została sporządzona z uwzględnieniem wskaźnika wzrostu dochodów i wydatków.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10)Do wyliczenia relacji o której mowa w art. 243 ust. 1 ustawy o finansach publicznych w latach 2022-2025 przyjmuje się okres ostatnich siedmiu lat (Zarządzenie Nr Or.0050.1.90.2021 Burmistrza Sępólna Krajeńskiego z dnia 15 listopada 2021 roku).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11)Uwzględniono zmiany wynikające z art. 28 ustawy o dodatku węglowym polegające na wyłączeniu poręczeń i gwarancji z indywidualnego wskaźnika spłaty zadłużenia.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załącznika nr 2 wykazu przedsięwzięć do Wieloletniej Prognozy Finansowej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 wykazie przedsięwzięć uwzględniono następujące projekty, w tym realizowane z udziałem środków Unii Europejskiej: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Infostrada Kujaw i Pomorza 2.0.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 realizowane w latach 2017-2023 w ramach działania 2.0. Dofinansowanie zadania w wysokości 85%. Celem zadania jest wsparcie gospodarcze i społeczne poprzez podniesienie efektywności działań administracji samorządowej oraz jakości usług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b)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Cyfrowa Gmina.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realizowany ze środków Europejskiego Funduszu Rozwoju Regionalnego w ramach PO Polska Cyfrowa na lata 2014-2020.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c)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Aktywizacja i Integracja - Nowy Start 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 Dofinansowanie projektu ze środków PAL. Zadanie realizowane przez OPS w latach 2021-2023.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1.2 Projekty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Infostrada Kujaw i Pomorza 2.0.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 realizowane w latach 2017-2023 w ramach działania 2.0. Dofinansowanie zadania w wysokości 85%. Celem zadania jest wsparcie gospodarcze i społeczne poprzez podniesienie efektywności działań administracji samorządowej oraz jakości usług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b)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Punktu Selektywnej Zbiórki Odpadów Komunalnej dla mieszkańców gminy Sępólno Krajeńskie.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Projekt realizowany w ramach RPO W K-P działanie 4.2 Gospodarka Odpadami. Dofinansowanie 85% kosztów kwalifikowanych. Zadanie realizowane w latach 2021-2023.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c)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Cyfrowa Gmina.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Projekt realizowany ze środków Europejskiego Funduszu Rozwoju Regionalnego w ramach środków PO Polska Cyfrowa na lata 2014-2020. Zakup sprzętu i oprogramowania informatycznego.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d)  Budowa drogi gminnej w miejscowości Świdwie.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Budowa kanalizacji sanitarnej w Lutowie.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2. Wydatki na programy, projekty lub zadania pozostałe: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Opracowanie miejscowego planu zagospodarowania przestrzennego przy ul. Leśnej, ul. Koronowskiej i pomiędzy ul. Koronowską, a ul. Sienkiewicza oraz w Niechorzu.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Remont drogi gminnej nr 020662C ulicy Komierowskiej w Sępólnie Krajeńskim, od km 0+000,00 do km 0+289,00.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Program do ewidencji szamb na terenie Gminy Sępólno Krajeńskie. Umowa podpisana na okres 2023-2026.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2.2 Pozostałe zadania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Budowa przedszkola w Sępólnie Krajeńskim. Dofinansowanie zadania w ramach RFILi RFPŁ. Celem zadania jest zwiększenie dostępności miejsc przedszkolnych. Zadanie realizowane w latach 2022-2023.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Przebudowa ul. Orzeszkowej i ul. Słonecznej w Sępólnie Krajeńskim. Zadanie realizowane w ramach dofinansowania RFIL.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Budowa świetlicy wiejskiej w miejscowości Zboże. Zadanie realizowane w ramach Rządowego Funduszu Polski Ład w latach 2022-2024.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Rozbudowa Szkoły Podstawowej w Wiśniewie. Zadanie realizowane w latach 2022-2024.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Budowa obwodnicy miasta Sępólno Krajeńskie – opracowanie Studium Techniczno - Ekonomiczno - Środowiskowego wraz z uzyskaniem decyzji o środowiskowych uwarunkowaniach zgody na realizację przedsięwzięcia oraz opracowanie dokumentacji projektowej wraz z uzyskaniem decyzji ZRID. Projekt partnerski Gmina Sępólno Krajeńskie, Powiat Sępoleński, Województwo Kujawsko-Pomorskie. Zadanie realizowane w latach 2021-2025.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Budowa budynku Centrum Opiekuńczo-Mieszkalnego przy ulicy Młyńskiej w Sępólnie Krajeńskim. Zadanie planowane do realizacji na lata 2023-2024. Zadanie dofinansowane ze środków Funduszu Solidarnościowego.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Budowa ul. Bajkowa, ul. Radosna, ul. Reja, ul. Prusa, ul. Więcborska, droga Trzciany, droga Sikorz, droga Dziechowo. Zadanie realizowane w ramach środków RFPŁ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h) Przebudowa dróg w miejscowości Kawle gmina Sępólno Krajeńskie (działki nr 174, 183/2, 302).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i) Przebudowa drogi w miejscowości Komierowo gmina Sępólno Krajeńskie. Zadanie realizowane w ramach RFRD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j) Rozbudowa Żłobka w ramach KPO. Zwiększenie dostępności miejsc dla dzieci. Zadanie realizowane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k) Budowa wielofunkcyjnego boiska wraz z zadaszeniem w miejscowości Zboże gmina Sępólno Krajeńskie. Dofinansowanie z Ministerstwa Sportu i Turystyki "Program Olimpia". Zadanie realizowane w latach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m) Przebudowa ulicy Stodolnej oraz budowa chodnika i oświetlenie ul. Komierowska w Sępólnie Krajeńskim, polegająca na budowie drogi dla pieszych i rowerów na dz. 85 i 95 obr. 0004 oraz na dz. nr 3 obr. 005 Sępólno Krajeńskie oraz przebudowa ulicy  Komierowskiej w Sępólnie Krajeńskim polegająca na budowie drogi dla pieszych i oświetlenia na dz. nr ewid. 69 i 67/4 obr 0004 Sępólno Krajeńskie. Inwestycja dofinansowana z RFRD.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n) Rozwój lokalnej infrastruktury sportowej poprzez remont sali gimnastycznej znajdującej się w Centrum Sportu i Rekreacji w Sępólnie Krajeńskim”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o) Wykonanie dokumentacji projektowej dla zadania: Remont drogi gminnej na dz. nr 158 w msc. Grochowiec gm. Sępólno Krajeńskie.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p) Montaż platformy dla niepełnosprawnych w budynku Biblioteki Publicznej w Sępólnie Krajeńskim. Inwestycja dofinansowana z Rządowego Programu Odbudowy Zabytków – Polski Ład. Realizacja 2023-2024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r) .„Budowa zewnętrznej windy osobowej dla osób niepełnosprawnych przy budynku administracji publicznej w Sępólnie Krajeńskim” w ramach naboru wniosków do programu „Dostępna przestrzeń publiczna”, Dofinansowanie z PFRON.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s)Rozwój lokalnej infrastruktury sportowej poprzez remont boiska sportowego – w ramach projektu Sportowa Polska.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t) Budowa drogi w miejscowości Wałdówko oraz relacji Komierowo – Mała Klonia. Inwestycja dofinansowana z Rządowego Funduszu Polski Ład: Programu Inwestycji Strategicznych – PGR. Realizacja 2023-2024.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u) Remont muru kamienno-ceglanego - ogrodzenia cmentarza przy kościele w Wałdowie wpisanym do rej. zabytków woj. kujawsko-pomorskiego dec. nr A/816 z 11.10.1993 r. Dofinansowanie z Rządowego Programu Odbudowy Zabytków – Polski Ład. Realizacja 2023-2024.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w) Remont dachu kościoła filialnego pw. św. Józefa i św. Kazimierza we Włościborzu. Dofinansowanie z Rządowego Programu Odbudowy Zabytków – Polski Ład. Realizacja 2023-2024.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x) Budowa ulic: Na Skarpie, łącznik Zielona-Kwiatowa, łącznik Zielona-Letniskowa, Zakątek z Łącznikiem do ul. Orzeszkowa - Środki Rządowego Funduszu Polski Ład. Realizacja 2024-2025.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y) Przebudowa drogi w Piasecznie - Środki Rządowego Funduszu Rozwoju Dróg. Realizacja 2024-2025.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ab/>
        <w:tab/>
        <w:tab/>
        <w:tab/>
        <w:tab/>
        <w:tab/>
        <w:tab/>
        <w:tab/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2023-11-30T14:53:15Z</dcterms:created>
  <cp:lastModifiedBy>HOST-13\Frosina</cp:lastModifiedBy>
  <dcterms:modified xsi:type="dcterms:W3CDTF">2023-11-30T13:53:55Z</dcterms:modified>
  <cp:revision>2</cp:revision>
  <dc:title>Uchwała Nr LXII/563/2023 z dnia 29 listopada 2023 r.</dc:title>
</cp:coreProperties>
</file>