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6A48C8" Type="http://schemas.openxmlformats.org/officeDocument/2006/relationships/officeDocument" Target="/word/document.xml" /><Relationship Id="coreR36A48C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Obowiązek podjęcia uchwały wynika z art.7 ust. 3a ustawy z dnia 13 września 1996 r.</w:t>
        <w:br w:type="textWrapping"/>
        <w:t>o utrzymaniu czystości i porządku w gminach (Dz. U. z 2023 r. poz. 469), który wskazuje, że rada gminy określi, w drodze uchwały stanowiącej akt prawa miejscowego, wymagania, jakie powinien spełniać przedsiębiorca ubiegający się o uzyskanie zezwolenia, w zakresie opróżniania zbiorników bezodpływowych lub osadników w instalacjach przydomowych oczyszczalni ściekówi transportu nieczystości ciekłych uwzględniając opis wyposażenia technicznego niezbędnegodo realizacji zadań.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Wymagania określają warunki wynikające z rozporządzenia Ministra Klimatu i Środowiska</w:t>
        <w:br w:type="textWrapping"/>
        <w:t>z dnia 16 lutego 2023 r. w sprawie szczegółowego sposobu określania wymagań, jakie powinien spełniać przedsiębiorca ubiegający się o uzyskanie zezwolenia na prowadzenie działalności w zakresie opróżniania zbiorników bezodpływowych lub osadników w instalacjach przydomowych oczyszczalni ścieków i transportu nieczystości ciekłych (Dz. U. z 2023 r. poz. 322) w zakresie wyposażenia technicznego pojazdów asenizacyjnych, bazy transportowej, zabiegów sanitarnych oraz miejsc przekazywania nieczystości ciekłych. Określone w uchwale normy nie utrudniają dostępu do rynku przedsiębiorcom świadczącym usługi w przedmiotowym zakresie oraz nie ograniczają i nie dyskryminują konkurencji na tym rynku. Podjęte w uchwale uregulowania są zgodne z obowiązującymi przepisami prawa oraz z regulaminem utrzymania czystości i porządku na terenie gminy.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Publicznego, Komisję Rolnictwa, Leśnictwa i Ochrony Środowiska Rady Miejskiej</w:t>
        <w:br w:type="textWrapping"/>
        <w:t>w 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2023-09-01T08:12:08Z</dcterms:created>
  <cp:lastModifiedBy>HOST-13\Frosina</cp:lastModifiedBy>
  <dcterms:modified xsi:type="dcterms:W3CDTF">2023-09-01T06:12:22Z</dcterms:modified>
  <cp:revision>2</cp:revision>
  <dc:subject>w sprawie określenia wymagań jakie powinien spełniać przedsiębiorca ubiegający się o uzyskanie zezwolenia na świadczenie usług w zakresie opróżniania zbiorników bezodpływowych lub osadników w instalacjach przydomowych oczyszczalni ścieków i transportu nieczystości ciekłych na terenie Gminy Sępólno Krajeńskie</dc:subject>
  <dc:title>Uchwała Nr LIX/549/2023 z dnia 30 sierpnia 2023 r.</dc:title>
</cp:coreProperties>
</file>