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9CAD8AD" Type="http://schemas.openxmlformats.org/officeDocument/2006/relationships/officeDocument" Target="/word/document.xml" /><Relationship Id="coreR49CAD8AD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Nieruchomość gruntowa przeznaczona do sprzedaży stanowi mienie komunalne Gminy Sępólno Krajeńskie. Zgodnie z art. 18 ust. 2 pkt 9 lit. a ustawy o samorządzie gminnym, do wyłącznej właściwości Rady Miejskiej należy między innymi podejmowanie uchwał w sprawach majątkowych gminy, dotyczących sprzedaży nieruchomości stanowiących własność gminy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 art. 13 ust. 1 ustawy o gospodarce nieruchomościami, nieruchomości będące własnością gminy mogą być przedmiotem sprzedaży, zamiany i zrzeczenia się, oddania w użytkowanie wieczyste, w najem lub dzierżawę, użyczenie, oddania w trwały zarząd, a także mogą być obciążane ograniczonymi prawami rzeczowymi, wnoszone jako wkłady niepieniężne (aporty) do spółek, przekazywane jako wyposażenie tworzonych przedsiębiorstw państwowych oraz jako majątek tworzonych fundacji.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Przeznaczona do sprzedaży nieruchomość gruntowa nr 2/9, obręb ewidencyjny 4 Sępólno Krajeńskie, nie jest położona w obszarze objętym miejscowym planem zagospodarowania przestrzennego.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 uchwałą nr XXVIII/261/2021 Rady Miejskiej w Sępólnie Krajeńskim z dnia 27 stycznia 2021 r. w sprawie uchwalenia zmiany Studium uwarunkowań i kierunków zagospodarowania przestrzennego miasta i gminy Sępólno Krajeńskie, przedmiotowa nieruchomość gruntowa położona jest na obszarze oznaczonym symbolem ZP - obszary zieleni urządzonej.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Projekt uchwały został pozytywnie zaopiniowany przez Komisję Gospodarki Komunalnej oraz Porządku Publicznego Rady Miejskiej w Sępólnie Krajeńskim.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 xml:space="preserve">Przewodniczący Rady 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SIGNATURE_0_0_TITLE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inż.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Franciszek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Lesinski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Polczyńska</dc:creator>
  <dcterms:created xsi:type="dcterms:W3CDTF">2023-08-01T13:16:27Z</dcterms:created>
  <cp:lastModifiedBy>HOST-13\Frosina</cp:lastModifiedBy>
  <dcterms:modified xsi:type="dcterms:W3CDTF">2023-09-01T06:03:08Z</dcterms:modified>
  <cp:revision>6</cp:revision>
  <dc:subject>w sprawie sprzedaży nieruchomości gruntowej nr 2/9 obr. 4  Sępólno Krajeńskie, położonej przy ul. Młyńskiej w Sępólnie Krajeńskim</dc:subject>
  <dc:title>Uchwała Nr LIX/.../2023 z dnia 30 sierpnia 2023 r.</dc:title>
</cp:coreProperties>
</file>