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A21A16" Type="http://schemas.openxmlformats.org/officeDocument/2006/relationships/officeDocument" Target="/word/document.xml" /><Relationship Id="coreR47A21A1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Potrzeba podjęcia uchwały wynika z zadań nałożonych na samorząd w przypadku tworzenia nowej placówki oświatowej. Zgodnie z art. 88 ust. 1 ustawy z dnia 14 grudnia 2016 r. - Prawo oświatowe (t.j. Dz. U. z 2021 r. poz. 1082 z późn. zm.)  szkołę lub placówkę publiczną zakłada się na podstawie aktu założycielskiego, który określa odpowiednio jej typ lub rodzaj, nazwę i siedzibę.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Przyczyną podjęcia niniejszej uchwały jest trwająca obecnie budowa nowego przedszkola w Sępólnie Krajeńskim. Aby umożliwić rekrutację dzieci do nowego przedszkola, ogłoszenie konkursu na stanowisko dyrektora i wybór dyrektora tej placówki oraz zatrudnienie kadry niezbędne jest jej utworzenie.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2023-01-26T07:58:06Z</dcterms:created>
  <cp:lastModifiedBy>HOST-13\Frosina</cp:lastModifiedBy>
  <dcterms:modified xsi:type="dcterms:W3CDTF">2023-01-26T10:10:08Z</dcterms:modified>
  <cp:revision>5</cp:revision>
  <dc:subject>w sprawie utworzenia Gminnego Przedszkola nr 3 w Sępólnie Krajeńskim</dc:subject>
  <dc:title>Uchwała Nr LIII/498/2023 z dnia 25 stycznia 2023 r.</dc:title>
</cp:coreProperties>
</file>