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88E159B" Type="http://schemas.openxmlformats.org/officeDocument/2006/relationships/officeDocument" Target="/word/document.xml" /><Relationship Id="coreR488E159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Wiceprezes Sądu Okręgowego w Bydgoszczy pismami z dnia 8 maja 2023r.  określił liczbę jednego ławnika potrzebnego Sądowi Okręgowemu w Bydgoszczy oraz dwóch ławników potrzebnych Sądowi Rejonowemu w Tucholi na kadencję 2024 – 2027.  Zgodnie z przepisami ustawy z dnia 21 lipca 2001 r. – Prawo o ustroju sądów powszechnych, a w szczególności z art. 160 § 2 i art. 163 § 2 – wybory ławników przygotowują gminy jako zadanie zlecone z zakresu administracji rządowej, m.in. przed przystąpieniem do wyborów ławników rada gminy ma obowiązek powołać zespół, który przedstawia na sesji opinię o zgłoszonych kandydatach na ławników.</w:t>
        <w:br w:type="textWrapping"/>
        <w:t>Niniejsza uchwała tworzy warunki dla realizacji obowiązków nałożonych na gminę w zakresie wyboru ławników z terenu Gminy Sępólno Krajeńskie na nową kadencję 2024 – 2027.</w:t>
        <w:br w:type="textWrapping"/>
        <w:t>Projekt uchwały uzyskał pozytywną opinię Komisji Statutowej i Pomocy Społecznej Rady Miejskiej w Sępólnie Krajeńskim.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1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1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  <w:p>
            <w:pPr>
              <w:keepNext w:val="1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t xml:space="preserve"> </w:t>
            </w:r>
          </w:p>
          <w:p>
            <w:pPr>
              <w:keepNext w:val="1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SIGNATURE_0_1_TITLE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 xml:space="preserve">inż. 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 xml:space="preserve">Franciszek 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aps w:val="0"/>
                <w:sz w:val="22"/>
                <w:u w:val="none"/>
                <w:vertAlign w:val="baseline"/>
              </w:rPr>
              <w:t>Lesinski</w:t>
            </w:r>
            <w:r>
              <w:rPr>
                <w:rFonts w:ascii="Times New Roman" w:hAnsi="Times New Roman"/>
                <w:b w:val="0"/>
                <w:i w:val="0"/>
                <w:caps w:val="0"/>
                <w:sz w:val="22"/>
                <w:u w:val="none"/>
                <w:vertAlign w:val="baseline"/>
              </w:rPr>
              <w:fldChar w:fldCharType="end"/>
            </w:r>
          </w:p>
        </w:tc>
      </w:tr>
    </w:tbl>
    <w:p>
      <w:pPr>
        <w:keepNext w:val="1"/>
        <w:keepLines w:val="0"/>
        <w:spacing w:lineRule="auto" w:line="240" w:before="120" w:after="120" w:beforeAutospacing="0" w:afterAutospacing="0"/>
        <w:ind w:hanging="0" w:left="0" w:right="0"/>
        <w:jc w:val="both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Wojtania</dc:creator>
  <dcterms:created xsi:type="dcterms:W3CDTF">2023-06-06T09:17:43Z</dcterms:created>
  <cp:lastModifiedBy>HOST-13\Frosina</cp:lastModifiedBy>
  <dcterms:modified xsi:type="dcterms:W3CDTF">2023-06-29T09:08:11Z</dcterms:modified>
  <cp:revision>12</cp:revision>
  <dc:subject>w sprawie  powołania Zespołu ds. zaopiniowania kandydatów na ławników na kadencję 2024 – 2027</dc:subject>
  <dc:title>Uchwała Nr LVIII/   /2023 z dnia 28 czerwca 2023 r.</dc:title>
</cp:coreProperties>
</file>