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A9DD4A1" Type="http://schemas.openxmlformats.org/officeDocument/2006/relationships/officeDocument" Target="/word/document.xml" /><Relationship Id="coreR2A9DD4A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Do załącznika nr 1 Wieloletniej Prognozy Finansowej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Wieloletnia Prognoza Finansowa zawiera obligatoryjne elementy określone w art. 226 ust. 1 i 2 ustawy o finansach publicznych.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Wzrost dochodów i wydatków w latach </w:t>
      </w:r>
      <w:r>
        <w:rPr>
          <w:rFonts w:ascii="Times New Roman" w:hAnsi="Times New Roman"/>
          <w:color w:val="000000"/>
          <w:sz w:val="20"/>
        </w:rPr>
        <w:t>2023 - 2033</w:t>
      </w:r>
      <w:r>
        <w:rPr>
          <w:rFonts w:ascii="Times New Roman" w:hAnsi="Times New Roman"/>
          <w:sz w:val="20"/>
        </w:rPr>
        <w:t xml:space="preserve"> przyjęto głównie na pozi</w:t>
      </w:r>
      <w:r>
        <w:rPr>
          <w:rFonts w:ascii="Times New Roman" w:hAnsi="Times New Roman"/>
          <w:color w:val="000000"/>
          <w:sz w:val="20"/>
        </w:rPr>
        <w:t>omie 7,8% na p</w:t>
      </w:r>
      <w:r>
        <w:rPr>
          <w:rFonts w:ascii="Times New Roman" w:hAnsi="Times New Roman"/>
          <w:sz w:val="20"/>
        </w:rPr>
        <w:t>odstawie danych Ministerstwa Finansów oraz analizy własnej budżetów z lat poprzednich.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Spłaty zobowiązań ustalono na podstawie zawartych umów, odsetki od nich oszacowano na podstawie analizy własnej.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wydatkach bieżących na obsługę długu w latach </w:t>
      </w:r>
      <w:r>
        <w:rPr>
          <w:rFonts w:ascii="Times New Roman" w:hAnsi="Times New Roman"/>
          <w:color w:val="000000"/>
          <w:sz w:val="20"/>
        </w:rPr>
        <w:t xml:space="preserve">objętych prognozą </w:t>
      </w:r>
      <w:r>
        <w:rPr>
          <w:rFonts w:ascii="Times New Roman" w:hAnsi="Times New Roman"/>
          <w:sz w:val="20"/>
        </w:rPr>
        <w:t xml:space="preserve">ujęto tylko odsetki od zaciągniętych pożyczek i kredytów. </w:t>
      </w:r>
    </w:p>
    <w:p>
      <w:pPr>
        <w:numPr>
          <w:ilvl w:val="0"/>
          <w:numId w:val="1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>Przeznacz</w:t>
      </w:r>
      <w:r>
        <w:rPr>
          <w:rFonts w:ascii="Times New Roman" w:hAnsi="Times New Roman"/>
          <w:color w:val="000000"/>
          <w:sz w:val="20"/>
        </w:rPr>
        <w:t>a się nadwyżkę budżetową na spłaty zobowiązań w latach kolejnych.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dochody ze sprzedaży majątku obejmują  w roku 2023 - sprzedaż działek i lokali.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Prognozę kwoty długu sporządzono w oparciu o zawarte umowy pożyczkowe i kredytowe oraz przewidywane do zaciągnięcia zobowiązania finansowe. 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Planowane dochody majątkowe w 2023 roku dotyczą dofinansowania zadań w ramach RFPŁ, RFIL, RPO WK-P oraz PROW na lata 2014-2020, realizowanych w oparciu o podpisane umowy o dofinansowanie i promesy.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Planowane wydatki inwestycyjne w 2023 roku stanowią ponad  25%</w:t>
      </w:r>
      <w:r>
        <w:rPr>
          <w:rFonts w:ascii="Times New Roman" w:hAnsi="Times New Roman"/>
          <w:color w:val="FF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wydatków ogółem. Prognoza wydatków inwestycyjnych na kolejne lata została sporządzona z uwzględnieniem wskaźnika wzrostu dochodów i wydatków.</w:t>
      </w:r>
    </w:p>
    <w:p>
      <w:pPr>
        <w:numPr>
          <w:ilvl w:val="0"/>
          <w:numId w:val="3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Do wyliczenia relacji o której mowa w art. 243 ust. 1 ustawy o finansach publicznych w latach 2022-2025 przyjmuje się okres ostatnich siedmiu lat (Zarządzenie Nr Or.0050.1.90.2021 Burmistrza Sępólna </w:t>
      </w:r>
      <w:r>
        <w:rPr>
          <w:rFonts w:ascii="Times New Roman" w:hAnsi="Times New Roman"/>
          <w:color w:val="000000"/>
          <w:sz w:val="20"/>
        </w:rPr>
        <w:t>Krajeńskiego z dnia 15 listopada 2021 roku).</w:t>
      </w:r>
    </w:p>
    <w:p>
      <w:pPr>
        <w:numPr>
          <w:ilvl w:val="0"/>
          <w:numId w:val="2"/>
        </w:numPr>
        <w:tabs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360" w:after="0" w:beforeAutospacing="0" w:afterAutospacing="0"/>
        <w:ind w:left="36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</w:rPr>
        <w:t>Uwzględniono zmiany wynikające z art. 28 ustawy o dodatku węglowym polegające na wyłączeniu poręczeń i gwarancji z indywidualnego wskaźnika spłaty zadłużenia.</w:t>
      </w: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both"/>
        <w:rPr>
          <w:rFonts w:ascii="Times New Roman" w:hAnsi="Times New Roman"/>
          <w:sz w:val="20"/>
        </w:rPr>
      </w:pPr>
    </w:p>
    <w:p>
      <w:pPr>
        <w:tabs>
          <w:tab w:val="left" w:pos="6" w:leader="none"/>
          <w:tab w:val="left" w:pos="369" w:leader="none"/>
          <w:tab w:val="left" w:pos="786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ind w:left="6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OBJAŚNIENIA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center"/>
        <w:rPr>
          <w:rFonts w:ascii="Times New Roman" w:hAnsi="Times New Roman"/>
          <w:b w:val="1"/>
          <w:sz w:val="20"/>
        </w:rPr>
      </w:pPr>
    </w:p>
    <w:p>
      <w:pPr>
        <w:tabs>
          <w:tab w:val="left" w:pos="1083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 w:beforeAutospacing="0" w:afterAutospacing="0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Do załącznika nr 2 wykazu przedsięwzięć do Wieloletniej Prognozy Finansowej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W wykazie przedsięwzięć uwzględniono następujące projekty, w tym realizowane z udziałem środków Unii Europejskiej: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w:t xml:space="preserve">a)  </w:t>
      </w:r>
      <w:r>
        <w:rPr>
          <w:rFonts w:ascii="Times New Roman" w:hAnsi="Times New Roman"/>
          <w:b w:val="1"/>
          <w:sz w:val="20"/>
        </w:rPr>
        <w:t xml:space="preserve">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</w:t>
      </w:r>
      <w:r>
        <w:rPr>
          <w:rFonts w:ascii="Times New Roman" w:hAnsi="Times New Roman"/>
          <w:b w:val="1"/>
          <w:color w:val="000000"/>
          <w:sz w:val="20"/>
        </w:rPr>
        <w:t xml:space="preserve">Cyfrowa Gmina. </w:t>
      </w:r>
      <w:r>
        <w:rPr>
          <w:rFonts w:ascii="Times New Roman" w:hAnsi="Times New Roman"/>
          <w:color w:val="000000"/>
          <w:sz w:val="20"/>
        </w:rPr>
        <w:t>Projekt realizowany ze środków Europejskiego Funduszu Rozwoju Regionalnego w ramach PO Polska Cyfrowa na lata 2014-2020.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c) </w:t>
      </w:r>
      <w:r>
        <w:rPr>
          <w:rFonts w:ascii="Times New Roman" w:hAnsi="Times New Roman"/>
          <w:b w:val="1"/>
          <w:sz w:val="20"/>
        </w:rPr>
        <w:t>Program Aktywizacja i Integracja - Nowy Start 2</w:t>
      </w:r>
      <w:r>
        <w:rPr>
          <w:rFonts w:ascii="Times New Roman" w:hAnsi="Times New Roman"/>
          <w:sz w:val="20"/>
        </w:rPr>
        <w:t>. Dofinansowanie projektu ze środków PAL. Zadanie realizowane przez OPS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i w:val="1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1.2 Projekty realizowane w ramach wydatków inwestycyjnych: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a) </w:t>
      </w:r>
      <w:r>
        <w:rPr>
          <w:rFonts w:ascii="Times New Roman" w:hAnsi="Times New Roman"/>
          <w:b w:val="1"/>
          <w:sz w:val="20"/>
        </w:rPr>
        <w:t xml:space="preserve"> Infostrada Kujaw i Pomorza 2.0. </w:t>
      </w:r>
      <w:r>
        <w:rPr>
          <w:rFonts w:ascii="Times New Roman" w:hAnsi="Times New Roman"/>
          <w:sz w:val="20"/>
        </w:rPr>
        <w:t>Zadanie realizowane w latach 2017-2023 w ramach działania 2.0. Dofinansowanie zadania w wysokości 85%. Celem zadania jest wsparcie gospodarcze i społeczne poprzez podniesienie efektywności działań administracji samorządowej oraz jakości usług publicznych.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b) </w:t>
      </w:r>
      <w:r>
        <w:rPr>
          <w:rFonts w:ascii="Times New Roman" w:hAnsi="Times New Roman"/>
          <w:b w:val="1"/>
          <w:sz w:val="20"/>
        </w:rPr>
        <w:t>Organizacja Punktu Selektywnej Zbiórki Odpadów Komunalnej dla mieszkańców gminy Sępólno Krajeńskie.</w:t>
      </w:r>
      <w:r>
        <w:rPr>
          <w:rFonts w:ascii="Times New Roman" w:hAnsi="Times New Roman"/>
          <w:sz w:val="20"/>
        </w:rPr>
        <w:t xml:space="preserve"> Projekt realizowany w ramach RPO W K-P działanie 4.2 Gospodarka Odpadami. Dofinansowanie 85% kosztów kwalifikowanych. Zadanie realizowane w latach 2021-2023.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c) </w:t>
      </w:r>
      <w:r>
        <w:rPr>
          <w:rFonts w:ascii="Times New Roman" w:hAnsi="Times New Roman"/>
          <w:b w:val="1"/>
          <w:color w:val="000000"/>
          <w:sz w:val="20"/>
        </w:rPr>
        <w:t>Cyfrowa Gmina.</w:t>
      </w:r>
      <w:r>
        <w:rPr>
          <w:rFonts w:ascii="Times New Roman" w:hAnsi="Times New Roman"/>
          <w:color w:val="000000"/>
          <w:sz w:val="20"/>
        </w:rPr>
        <w:t xml:space="preserve"> Projekt realizowany ze środków Europejskiego Funduszu Rozwoju Regionalnego w ramach środków PO Polska Cyfrowa na lata 2014-2020. Zakup sprzętu i oprogramowania informatycznego.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>2. Wydatki na programy, projekty lub zadania pozostałe: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  <w:u w:val="single"/>
        </w:rPr>
      </w:pPr>
      <w:r>
        <w:rPr>
          <w:rFonts w:ascii="Times New Roman" w:hAnsi="Times New Roman"/>
          <w:color w:val="000000"/>
          <w:sz w:val="20"/>
          <w:u w:val="single"/>
        </w:rPr>
        <w:t>2.1 Projekty realizowane w ramach wydatków bieżących: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Opracowanie miejscowego planu zagospodarowania przestrzennego przy ul. Leśnej, ul. Koronowskiej i pomiędzy ul. Koronowską, a ul. Sienkiewicza oraz w Niechorzu.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u w:val="single"/>
        </w:rPr>
        <w:t>2.2 Pozostałe zadania realizowane w ramach wydatków inwestycyjnych: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a) Budowa przedszkola w Sępólnie Krajeńskim. Dofinansowanie zadania w ramach RFILi RFPŁ. Celem zadania jest zwiększenie dostępności miejsc przedszkolnych. Zadanie realizowane w latach 2022-2023.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b) Przebudowa ul. Orzeszkowej i ul. Słonecznej w Sępólnie Krajeńskim. Zadanie realizowane w ramach dofinansowania RFIL. 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c) Budowa świetlicy wiejskiej w miejscowości Zboże. Zadanie realizowane w ramach Rządowego Funduszu Polski Ład w latach 2022-2024.</w:t>
      </w: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d) Rozbudowa Szkoły Podstawowej w Wiśniewie. Zadanie realizowane w latach 2022-2023.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e) Budowa obwodnicy miasta Sępólno Krajeńskie – opracowanie Studium Techniczno - Ekonomiczno - Środowiskowego wraz z uzyskaniem decyzji o środowiskowych uwarunkowaniach zgody na realizację przedsięwzięcia oraz opracowanie dokumentacji projektowej wraz z uzyskaniem decyzji ZRID. Projekt partnerski Gmina Sępólno Krajeńskie, Powiat Sępoleński, Województwo Kujawsko-Pomorskie. Zadanie realizowane w latach 2021-2025.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f) Budowa budynku Centrum Opiekuńczo-Mieszkalnego przy ulicy Młyńskiej w Sępólnie Krajeńskim. Zadanie planowane do realizacji na lata 2023-2024. Zadanie dofinansowane ze środków Funduszu Solidarnościowego.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g) Budowa ul. Bajkowa, ul. Radosna, ul. Reja, ul. Prusa, ul. Więcborska, droga Trzciany, droga Sikorz, droga Dziechowo. Zadanie realizowane w ramach środków RFPŁ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h) Przebudowa dróg w miejscowości Kawle gmina Sępólno Krajeńskie (działki nr 174, 183/2, 302).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i) Przebudowa drogi w miejscowości Komierowo gmina Sępólno Krajeńskie. Zadanie realizowane w ramach RFRD w latach 2023-2024.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369" w:leader="none"/>
          <w:tab w:val="left" w:pos="502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 w:after="0" w:beforeAutospacing="0" w:afterAutospacing="0"/>
        <w:jc w:val="both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Przewodniczący Rady Miejskiej </w:t>
      </w: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jc w:val="right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ab/>
        <w:tab/>
        <w:tab/>
        <w:tab/>
        <w:tab/>
        <w:tab/>
        <w:tab/>
        <w:tab/>
        <w:t xml:space="preserve">inż. Franciszek Lesinski </w:t>
      </w:r>
    </w:p>
    <w:p>
      <w:pPr>
        <w:widowControl w:val="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widowControl w:val="0"/>
        <w:spacing w:lineRule="auto" w:line="240" w:after="0" w:beforeAutospacing="0" w:afterAutospacing="0"/>
        <w:rPr>
          <w:rFonts w:ascii="Times New Roman" w:hAnsi="Times New Roman"/>
          <w:color w:val="000000"/>
          <w:sz w:val="20"/>
        </w:rPr>
      </w:pPr>
    </w:p>
    <w:p>
      <w:pPr>
        <w:pStyle w:val="P1"/>
        <w:rPr>
          <w:rFonts w:ascii="Times New Roman" w:hAnsi="Times New Roman"/>
          <w:color w:val="000000"/>
          <w:sz w:val="20"/>
        </w:rPr>
      </w:pPr>
    </w:p>
    <w:sectPr>
      <w:type w:val="nextPage"/>
      <w:pgSz w:w="11906" w:h="16838" w:code="0"/>
      <w:pgMar w:left="1000" w:right="1000" w:top="1000" w:bottom="1000" w:header="720" w:footer="720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decimal"/>
      <w:suff w:val="tab"/>
      <w:lvlText w:val="%1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1">
      <w:start w:val="1"/>
      <w:numFmt w:val="decimal"/>
      <w:suff w:val="tab"/>
      <w:lvlText w:val="%2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2">
      <w:start w:val="1"/>
      <w:numFmt w:val="decimal"/>
      <w:suff w:val="tab"/>
      <w:lvlText w:val="%3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3">
      <w:start w:val="1"/>
      <w:numFmt w:val="decimal"/>
      <w:suff w:val="tab"/>
      <w:lvlText w:val="%4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4">
      <w:start w:val="1"/>
      <w:numFmt w:val="decimal"/>
      <w:suff w:val="tab"/>
      <w:lvlText w:val="%5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5">
      <w:start w:val="1"/>
      <w:numFmt w:val="decimal"/>
      <w:suff w:val="tab"/>
      <w:lvlText w:val="%6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6">
      <w:start w:val="1"/>
      <w:numFmt w:val="decimal"/>
      <w:suff w:val="tab"/>
      <w:lvlText w:val="%7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7">
      <w:start w:val="1"/>
      <w:numFmt w:val="decimal"/>
      <w:suff w:val="tab"/>
      <w:lvlText w:val="%8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  <w:lvl w:ilvl="8">
      <w:start w:val="1"/>
      <w:numFmt w:val="decimal"/>
      <w:suff w:val="tab"/>
      <w:lvlText w:val="%9)"/>
      <w:lvlJc w:val="left"/>
      <w:pPr>
        <w:ind w:hanging="363"/>
      </w:pPr>
      <w:rPr>
        <w:rFonts w:ascii="Times New Roman" w:hAnsi="Times New Roman"/>
        <w:b w:val="0"/>
        <w:i w:val="0"/>
        <w:strike w:val="0"/>
        <w:color w:val="auto"/>
        <w:sz w:val="20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000000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ind w:hanging="363"/>
        </w:pPr>
        <w:rPr>
          <w:rFonts w:ascii="Times New Roman" w:hAnsi="Times New Roman"/>
          <w:b w:val="0"/>
          <w:i w:val="0"/>
          <w:strike w:val="0"/>
          <w:color w:val="auto"/>
          <w:sz w:val="20"/>
          <w:u w:val="none"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widowControl w:val="1"/>
      <w:spacing w:lineRule="auto" w:line="259" w:after="160" w:beforeAutospacing="0" w:afterAutospacing="0"/>
    </w:pPr>
    <w:rPr>
      <w:rFonts w:ascii="Calibri" w:hAnsi="Calibri"/>
      <w:sz w:val="22"/>
    </w:rPr>
  </w:style>
  <w:style w:type="paragraph" w:styleId="P1">
    <w:name w:val="[Normal]"/>
    <w:pPr>
      <w:widowControl w:val="0"/>
    </w:pPr>
    <w:rPr>
      <w:rFonts w:ascii="Arial" w:hAnsi="Arial"/>
      <w:sz w:val="24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2023-06-14T06:54:14Z</dcterms:created>
  <cp:lastModifiedBy>HOST-81\Pruska</cp:lastModifiedBy>
  <dcterms:modified xsi:type="dcterms:W3CDTF">2023-06-14T06:54:34Z</dcterms:modified>
</cp:coreProperties>
</file>