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C5AF6A" Type="http://schemas.openxmlformats.org/officeDocument/2006/relationships/officeDocument" Target="/word/document.xml" /><Relationship Id="coreR54C5AF6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LIII/497/2023</w:t>
        <w:br w:type="textWrapping"/>
        <w:t>Rady Miejskiej w Sępólnie Krajeńskim</w:t>
        <w:br w:type="textWrapping"/>
        <w:t>z dnia 25 stycznia 2023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dniu 21 października 2022 r .wpłynęła do Rady Miejskiej w Sępólnie Krajeńskim  skarga na Dyrektora Szkoły Podstawowej Nr 1 w Sępólnie Krajeńskim.  W związku z faktem, że w skardze postawiono zarzuty dotyczące naruszenia praw pracowniczych Rada Miejska przekazała skargę do rozpatrzenia Państwowej Inspekcji Pracy Okręgowy Inspektorat Pracy w Bydgoszczy. W odpowiedzi Państwowa Inspekcja Pracy pismem nr BG-PPR-A.0600.1283.2022 z dnia 20 grudnia 2022 r. poinformowała, że nie jest organem właściwym do rozstrzygnięcia skargi, wskazując jednocześnie, iż zgodnie z art. 262 Kodeksu pracy spory o roszczenia ze stosunku pracy rozstrzygają Sądy Pracy. Państwowa Inspekcja Pracy w w/w piśmie podkreśliła, że jedynym rozwiązaniem dla skarżącej jest wystąpienie o dochodzenie swoich roszczeń z pozwem do Sądu Pracy.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Komisja Skarg, Wniosków i Petycji Rady Miejskiej w Sępólnie Krajeńskim na swoich posiedzeniach w dniach 11 i 16 stycznia 2023 r., po zapoznaniu się z pisemną odpowiedzią Państwowej Inspekcji Pracy Okręgowego Inspektoratu Pracy w Bydgoszczy, zasugerowała przekazanie skargi skarżącej z jednoczesnym zaznaczeniem, że skarżąca może dochodzić swoich praw składając pozew do Sądu Pracy.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Rada Miejska mając na uwadze pisemne stanowisko  Państwowej Inspekcji Pracy Okręgowego Inspektoratu Pracy w Bydgoszczy w sprawie skargi oraz opinię Komisji Skarg, Wniosków i Petycji Rady Miejskiej w Sępólnie Krajeńskim przekazuje skargę skarżącej jednocześnie wskazując jej możliwość wystąpienia z pozwem do Sądu Pracy.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2023-01-26T08:22:44Z</dcterms:created>
  <cp:lastModifiedBy>HOST-13\Frosina</cp:lastModifiedBy>
  <dcterms:modified xsi:type="dcterms:W3CDTF">2023-01-26T11:40:31Z</dcterms:modified>
  <cp:revision>4</cp:revision>
  <dc:subject>w sprawie przekazania skargi skarżącej</dc:subject>
  <dc:title>Uchwała Nr LIII/497/2023 z dnia 25 stycznia 2023 r.</dc:title>
</cp:coreProperties>
</file>