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245EF789" Type="http://schemas.openxmlformats.org/officeDocument/2006/relationships/officeDocument" Target="/word/document.xml" /><Relationship Id="coreR245EF789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z w:val="22"/>
          <w:vertAlign w:val="baseline"/>
        </w:rPr>
        <w:t>Zmiana planu dochodów – zmniejszenie o 6 102 844,81 zł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</w:t>
            </w:r>
          </w:p>
        </w:tc>
        <w:tc>
          <w:tcPr>
            <w:tcW w:w="870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Rozdział</w:t>
            </w:r>
          </w:p>
        </w:tc>
        <w:tc>
          <w:tcPr>
            <w:tcW w:w="91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Paragraf</w:t>
            </w:r>
          </w:p>
        </w:tc>
        <w:tc>
          <w:tcPr>
            <w:tcW w:w="382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Treść</w:t>
            </w:r>
          </w:p>
        </w:tc>
        <w:tc>
          <w:tcPr>
            <w:tcW w:w="1290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Przed zmianą</w:t>
            </w:r>
          </w:p>
        </w:tc>
        <w:tc>
          <w:tcPr>
            <w:tcW w:w="1185" w:type="dxa"/>
            <w:tcBorders>
              <w:top w:val="single" w:sz="4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Zmiana</w:t>
            </w:r>
          </w:p>
        </w:tc>
        <w:tc>
          <w:tcPr>
            <w:tcW w:w="1380" w:type="dxa"/>
            <w:tcBorders>
              <w:top w:val="single" w:sz="4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6 173 630,62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4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-560 010,00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4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5 613 620,62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3 932 630,62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-560 010,00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3 372 620,62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zwiazków powiatowo-gminnych, związków powiatów), samorządów województw, pozyskane z innych źródeł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1 998 000,00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-560 010,00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1 437 990,00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z RFRD - budowa ul. Bratkowa, Liliowa, Wrzosowa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2 472 500,00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3 545,00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2 476 045,00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70007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Gospodarowanie mieszkaniowym zasobem gminy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1 200 000,00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3 545,00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1 203 545,00</w:t>
            </w:r>
          </w:p>
        </w:tc>
      </w:tr>
      <w:tr>
        <w:tblPrEx>
          <w:tblW w:w="5000" w:type="pct"/>
          <w:tblLayout w:type="fixed"/>
        </w:tblPrEx>
        <w:trPr>
          <w:trHeight w:hRule="atLeast" w:val="63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0960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otrzymanych spadków, zapisów i darowizn w postaci pieniężnej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3 545,00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3 545,00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darowizny na rzecz gminy (mieszkania komunalne)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606 101,27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63 252,81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669 354,08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75020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Starostwa powiatowe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190 600,00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235 600,00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8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6300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tytułu pomocy finansowej udzielanej między jednostkami samorządu terytorialnego na dofinansowanie własnych zadań inwestycyjnych i zakupów inwestycyjnych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dotacja Powiatu na wymianę instalacji elektrycznej w budynku UM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144 873,27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18 252,81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163 126,08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121 661,13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18 252,81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139 913,94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odsetki bankowe</w:t>
            </w:r>
          </w:p>
        </w:tc>
      </w:tr>
      <w:tr>
        <w:tblPrEx>
          <w:tblW w:w="5000" w:type="pct"/>
          <w:tblLayout w:type="fixed"/>
        </w:tblPrEx>
        <w:trPr>
          <w:trHeight w:hRule="atLeast" w:val="97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756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Dochody od osób prawnych, od osób fizycznych i od innych jednostek nieposiadających osobowości prawnej oraz wydatki związane z ich poborem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62 823 000,00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72 323,94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62 895 323,94</w:t>
            </w:r>
          </w:p>
        </w:tc>
      </w:tr>
      <w:tr>
        <w:tblPrEx>
          <w:tblW w:w="5000" w:type="pct"/>
          <w:tblLayout w:type="fixed"/>
        </w:tblPrEx>
        <w:trPr>
          <w:trHeight w:hRule="atLeast" w:val="96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czynności cywilnoprawnych, podatków i opłat lokalnych od osób prawnych i innych jednostek organizacyjnych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7 860 287,00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55 711,52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7 915 998,52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0310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od nieruchomości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7 290 000,00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55 711,52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7 345 711,52</w:t>
            </w:r>
          </w:p>
        </w:tc>
      </w:tr>
      <w:tr>
        <w:tblPrEx>
          <w:tblW w:w="5000" w:type="pct"/>
          <w:tblLayout w:type="fixed"/>
        </w:tblPrEx>
        <w:trPr>
          <w:trHeight w:hRule="atLeast" w:val="100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podatku rolnego, podatku leśnego, podatku od spadków i darowizn, podatku od czynności cywilno-prawnych oraz podatków i opłat lokalnych od osób fizycznych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7 903 000,00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6 612,42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7 909 612,42</w:t>
            </w:r>
          </w:p>
        </w:tc>
      </w:tr>
      <w:tr>
        <w:tblPrEx>
          <w:tblW w:w="5000" w:type="pct"/>
          <w:tblLayout w:type="fixed"/>
        </w:tblPrEx>
        <w:trPr>
          <w:trHeight w:hRule="atLeast" w:val="64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0640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tytułu kosztów egzekucyjnych, opłaty komorniczej i kosztów upomnień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6 612,42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16 612,42</w:t>
            </w:r>
          </w:p>
        </w:tc>
      </w:tr>
      <w:tr>
        <w:tblPrEx>
          <w:tblW w:w="5000" w:type="pct"/>
          <w:tblLayout w:type="fixed"/>
        </w:tblPrEx>
        <w:trPr>
          <w:trHeight w:hRule="atLeast" w:val="64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75618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opłat stanowiących dochody jednostek samorządu terytorialnego na podstawie ustaw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710 000,00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73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0490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innych lokalnych opłat pobieranych przez jednostki samorządu terytorialnego na podstawie odrębnych ustaw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wpływów - ww podatki, oplata adiacencka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758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Różne rozliczenia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16 710 011,00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-55 711,52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16 654 299,48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75814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rozliczenia finansowe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-55 711,52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194 288,48</w:t>
            </w:r>
          </w:p>
        </w:tc>
      </w:tr>
      <w:tr>
        <w:tblPrEx>
          <w:tblW w:w="5000" w:type="pct"/>
          <w:tblLayout w:type="fixed"/>
        </w:tblPrEx>
        <w:trPr>
          <w:trHeight w:hRule="atLeast" w:val="91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-72 808,91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177 191,09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6330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inwestycji i zakupów inwestycyjnych własnych gmin (związków gmin, związków powiatowo-gminnych)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17 097,39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17 097,39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- rozliczenie funduszu sołeckiego za 2025 rok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5 600 473,47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-2 779 000,00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2 821 473,47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3 930 074,98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-2 779 000,00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1 151 074,98</w:t>
            </w:r>
          </w:p>
        </w:tc>
      </w:tr>
      <w:tr>
        <w:tblPrEx>
          <w:tblW w:w="5000" w:type="pct"/>
          <w:tblLayout w:type="fixed"/>
        </w:tblPrEx>
        <w:trPr>
          <w:trHeight w:hRule="atLeast" w:val="124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2 779 000,00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-2 779 000,00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58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Przesunięcie terminu realizacji zadania i rozliczenia środków na 2027 rok - modernizacja energetyczna wiejskich szkół podstawowych 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6 811 906,44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30 310,00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6 842 216,44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3 066 985,25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11 260,00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3 078 245,25</w:t>
            </w:r>
          </w:p>
        </w:tc>
      </w:tr>
      <w:tr>
        <w:tblPrEx>
          <w:tblW w:w="5000" w:type="pct"/>
          <w:tblLayout w:type="fixed"/>
        </w:tblPrEx>
        <w:trPr>
          <w:trHeight w:hRule="atLeast" w:val="112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105 928,00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11 260,00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117 188,00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dotacja na sprawowanie opieki wraz z kosztami obsługi zadania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1 325 663,00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19 050,00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1 344 713,00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5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69 600,00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19 050,00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88 650,00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usługi opiekuńcze i specjalistyczne usługi opiekuńcze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14 430 609,47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26 056,38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14 456 665,85</w:t>
            </w:r>
          </w:p>
        </w:tc>
      </w:tr>
      <w:tr>
        <w:tblPrEx>
          <w:tblW w:w="5000" w:type="pct"/>
          <w:tblLayout w:type="fixed"/>
        </w:tblPrEx>
        <w:trPr>
          <w:trHeight w:hRule="atLeast" w:val="81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10 046 369,73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377,00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10 046 746,73</w:t>
            </w:r>
          </w:p>
        </w:tc>
      </w:tr>
      <w:tr>
        <w:tblPrEx>
          <w:tblW w:w="5000" w:type="pct"/>
          <w:tblLayout w:type="fixed"/>
        </w:tblPrEx>
        <w:trPr>
          <w:trHeight w:hRule="atLeast" w:val="114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9 739 526,73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377,00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9 739 903,73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świadczenia rodzinne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Karta Dużej Rodziny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661,00</w:t>
            </w:r>
          </w:p>
        </w:tc>
      </w:tr>
      <w:tr>
        <w:tblPrEx>
          <w:tblW w:w="5000" w:type="pct"/>
          <w:tblLayout w:type="fixed"/>
        </w:tblPrEx>
        <w:trPr>
          <w:trHeight w:hRule="atLeast" w:val="109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2010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zadań bieżących z zakresu administracji rządowej oraz innych zadań zleconych gminie (związkom gmin, związkom powiatowo-gminnym) ustawami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Karta Dużej Rodziny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139 492,74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-919,62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138 573,12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2030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otrzymana z budżetu państwa na realizację własnych zadań bieżących gmin (związków gmin, związków powiatowo-gminnych)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139 092,74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-919,62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138 173,12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dotacji - rozliczenie dodatków motywacyjnych w Świetlicy Terapeutycznej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3 914 204,00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26 538,00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3 940 742,00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0920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pozostałych odsetek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2 400,00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0970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różnych dochodów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25 998,00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26 898,00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wpływów - CMDiR</w:t>
            </w:r>
          </w:p>
        </w:tc>
      </w:tr>
      <w:tr>
        <w:tblPrEx>
          <w:tblW w:w="5000" w:type="pct"/>
          <w:tblLayout w:type="fixed"/>
        </w:tblPrEx>
        <w:trPr>
          <w:trHeight w:hRule="atLeast" w:val="58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11 570 408,42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-3 060 258,42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8 510 150,00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ściekowa i ochrona wód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2 097 328,42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-1 897 328,42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0830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Wpływy z usług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1 927 328,42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-1 927 328,42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Przesunięcie terminu realizacji zadania i rozliczenia środków na 2027 rok - Uzbrojenie terenów inwestycyjnych </w:t>
            </w:r>
          </w:p>
        </w:tc>
      </w:tr>
      <w:tr>
        <w:tblPrEx>
          <w:tblW w:w="5000" w:type="pct"/>
          <w:tblLayout w:type="fixed"/>
        </w:tblPrEx>
        <w:trPr>
          <w:trHeight w:hRule="atLeast" w:val="66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90026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Pozostałe działania związane z gospodarką odpadami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305 000,00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-180 000,00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94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2460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otrzymane od pozostałych jednostek zaliczanych do sektora finansów publicznych na realizacje zadań bieżących jednostek zaliczanych do sektora finansów publicznych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-180 000,00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otrzymanych środków z WFOŚiGW na utylizację azbestu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982 930,00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-982 930,00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11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6297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982 930,00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-982 930,00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7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terminu realizacji zadania i rozliczenia środków na 2027 rok - zagospodarowanie lasku komunalnego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969 700,00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156 647,00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1 126 347,00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920 500,00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156 647,00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1 077 147,00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87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6290</w:t>
            </w:r>
          </w:p>
        </w:tc>
        <w:tc>
          <w:tcPr>
            <w:tcW w:w="382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1290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18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156 647,00</w:t>
            </w:r>
          </w:p>
        </w:tc>
        <w:tc>
          <w:tcPr>
            <w:tcW w:w="138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156 647,00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64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Środki Funduszu Rozwoju Kultury Fizycznej  - projekt: Rozwój lokalnej infrastruktury sportowej poprzez remont zapleczy szatniowo sanitarnych, pomieszczeń przeznaczonych dla trenerów oraz remont ciągu komunikacyjnego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22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290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134 044 875,79</w:t>
            </w:r>
          </w:p>
        </w:tc>
        <w:tc>
          <w:tcPr>
            <w:tcW w:w="118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-6 102 844,81</w:t>
            </w:r>
          </w:p>
        </w:tc>
        <w:tc>
          <w:tcPr>
            <w:tcW w:w="138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127 942 030,98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1"/>
          <w:caps w:val="0"/>
          <w:strike w:val="0"/>
          <w:color w:val="000000"/>
          <w:sz w:val="22"/>
          <w:u w:val="none" w:color="000000"/>
          <w:vertAlign w:val="baseline"/>
        </w:rPr>
        <w:t xml:space="preserve">Zmiana planu wydatków – zmniejszenie o 6 102 844,81 zł </w:t>
      </w:r>
    </w:p>
    <w:tbl>
      <w:tblPr>
        <w:tblBorders>
          <w:top w:val="single" w:sz="4" w:space="0" w:shadow="0" w:frame="0"/>
          <w:left w:val="single" w:sz="4" w:space="0" w:shadow="0" w:frame="0"/>
          <w:bottom w:val="single" w:sz="4" w:space="0" w:shadow="0" w:frame="0"/>
          <w:right w:val="single" w:sz="4" w:space="0" w:shadow="0" w:frame="0"/>
          <w:insideH w:val="single" w:sz="4" w:space="0" w:shadow="0" w:frame="0"/>
          <w:insideV w:val="single" w:sz="4" w:space="0" w:shadow="0" w:frame="0"/>
        </w:tblBorders>
        <w:tblLayout w:type="fixed"/>
        <w:tblCellMar>
          <w:left w:w="108" w:type="dxa"/>
          <w:right w:w="108" w:type="dxa"/>
        </w:tblCellMar>
      </w:tblPr>
      <w:tblGrid/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Dział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Rozdział</w:t>
            </w: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Paragraf</w:t>
            </w: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Treść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Przed zmianą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Zmiana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 zmianie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600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Transport i łączność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14 781 013,40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-199 790,25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14 581 223,15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60016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Drogi publiczne gminne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9 656 594,40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-199 790,25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9 456 804,15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105 000,00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743 267,08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-5 237,70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738 029,38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6 951 217,66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-199 552,55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6 751 665,11</w:t>
            </w:r>
          </w:p>
        </w:tc>
      </w:tr>
      <w:tr>
        <w:tblPrEx>
          <w:tblW w:w="5000" w:type="pct"/>
          <w:tblLayout w:type="fixed"/>
        </w:tblPrEx>
        <w:trPr>
          <w:trHeight w:hRule="atLeast" w:val="57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bieżące utrzymanie dróg w ramach funduszu sołeckiego, przesunięcie planu do r. 70005 - przebudowa podjazdu do rehabilitacji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700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mieszkaniowa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2 566 060,00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203 545,00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2 769 605,00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Gospodarka gruntami i nieruchomościami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1 281 740,00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1 481 740,00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70007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Gospodarowanie mieszkaniowym zasobem gminy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1 185 650,00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3 545,00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1 189 195,00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676 150,00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3 545,00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679 695,00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do wysokości otrzymanych wpłat - wymiana piecy w lokalach komunalnych; przesunięcie planu z r. 60016 - przebudowa podjazdu do rehabilitacji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Administracja publiczna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11 270 010,96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100 000,00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11 370 010,96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75023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Urzędy gmin (miast i miast na prawach powiatu)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7 659 426,00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7 749 426,00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450 000,00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modernizacja instalacji elektrycznej w budynku UM (w tym dotacja Powiatu 45 tys.)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75075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Promocja jednostek samorządu terytorialnego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190 000,00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10 300,00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20 300,00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materiały promocyjne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754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Bezpieczeństwo publiczne i ochrona przeciwpożarowa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278 503,00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6 000,00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284 503,00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75412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Ochotnicze straże pożarne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254 871,00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260 871,00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40 771,00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46 771,00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udział gminy w pracach remontowych remizy OSP Zalesie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801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Oświata i wychowanie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45 982 101,61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-5 838 057,00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40 144 044,61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80101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Szkoły podstawowe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28 405 946,78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-5 838 057,00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22 567 889,78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4307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301 508,07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819,00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302 327,07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4437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Różne opłaty i składki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352,00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1 127,00</w:t>
            </w:r>
          </w:p>
        </w:tc>
      </w:tr>
      <w:tr>
        <w:tblPrEx>
          <w:tblW w:w="5000" w:type="pct"/>
          <w:tblLayout w:type="fixed"/>
        </w:tblPrEx>
        <w:trPr>
          <w:trHeight w:hRule="atLeast" w:val="48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4707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Szkolenia pracowników niebędących członkami korpusu służby cywilnej 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11 894,40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25 983,00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37 877,40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4709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 xml:space="preserve">Szkolenia pracowników niebędących członkami korpusu służby cywilnej 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6 789,00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6 789,00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Zwiększenie planu - projekt Erasmus realizowany w SP1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2 549 000,00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-2 549 000,00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3 323 000,00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-3 323 000,00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 xml:space="preserve">Przesunięcie terminu realizacji zadania na 2027 rok - modernizacja energetyczna wiejskich szkół podstawowych 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852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Pomoc społeczna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17 184 600,20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30 310,00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17 214 910,20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85219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Ośrodki pomocy społecznej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11 097 609,63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60 260,00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11 157 869,63</w:t>
            </w:r>
          </w:p>
        </w:tc>
      </w:tr>
      <w:tr>
        <w:tblPrEx>
          <w:tblW w:w="5000" w:type="pct"/>
          <w:tblLayout w:type="fixed"/>
        </w:tblPrEx>
        <w:trPr>
          <w:trHeight w:hRule="atLeast" w:val="124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290 679,68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-290 679,68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</w:tr>
      <w:tr>
        <w:tblPrEx>
          <w:tblW w:w="5000" w:type="pct"/>
          <w:tblLayout w:type="fixed"/>
        </w:tblPrEx>
        <w:trPr>
          <w:trHeight w:hRule="atLeast" w:val="124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2367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303 979,87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303 979,87</w:t>
            </w:r>
          </w:p>
        </w:tc>
      </w:tr>
      <w:tr>
        <w:tblPrEx>
          <w:tblW w:w="5000" w:type="pct"/>
          <w:tblLayout w:type="fixed"/>
        </w:tblPrEx>
        <w:trPr>
          <w:trHeight w:hRule="atLeast" w:val="124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2369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Dotacja celowa z budżetu jednostki samorządu terytorialnego, udzielone w trybie art. 221 ustawy, na finansowanie lub dofinansowanie zadań zleconych do realizacji organizacjom prowadzącym działalność pożytku publicznego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35 699,81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35 699,81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135 156,85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11 095,50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146 252,35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94 635,15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164,50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94 799,65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sprawowanie opieki dotacja</w:t>
            </w:r>
          </w:p>
        </w:tc>
      </w:tr>
      <w:tr>
        <w:tblPrEx>
          <w:tblW w:w="5000" w:type="pct"/>
          <w:tblLayout w:type="fixed"/>
        </w:tblPrEx>
        <w:trPr>
          <w:trHeight w:hRule="atLeast" w:val="49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85228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Usługi opiekuńcze i specjalistyczne usługi opiekuńcze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571 732,41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-29 950,00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541 782,41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4017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95 784,92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-31 780,88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64 004,04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4019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34 070,69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-3 732,42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30 338,27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4117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21 495,19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-10 905,60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10 589,59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4119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6 528,21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-1 280,72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5 247,49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4127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2 798,79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-1 163,70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1 635,09</w:t>
            </w:r>
          </w:p>
        </w:tc>
      </w:tr>
      <w:tr>
        <w:tblPrEx>
          <w:tblW w:w="5000" w:type="pct"/>
          <w:tblLayout w:type="fixed"/>
        </w:tblPrEx>
        <w:trPr>
          <w:trHeight w:hRule="atLeast" w:val="43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4129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1 318,20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-136,68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1 181,52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projekt CUS - przesunięcie wydatków na dotacje dla stowarzyszenia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42 600,00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9 600,00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52 200,00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9 450,00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36 450,00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Usługi opiekuńcze i specjalistyczne usługi opiekuńcze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855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Rodzina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18 416 133,09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-8 633,81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18 407 499,28</w:t>
            </w:r>
          </w:p>
        </w:tc>
      </w:tr>
      <w:tr>
        <w:tblPrEx>
          <w:tblW w:w="5000" w:type="pct"/>
          <w:tblLayout w:type="fixed"/>
        </w:tblPrEx>
        <w:trPr>
          <w:trHeight w:hRule="atLeast" w:val="78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85502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rodzinne, świadczenie z funduszu alimentacyjnego oraz składki na ubezpieczenia emerytalne i rentowe z ubezpieczenia społecznego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9 840 026,73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377,00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9 840 403,73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3110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Świadczenia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8 566 354,53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365,69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8 566 720,22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2 964,20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11,31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2 975,51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świadczenia rodzinne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85503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Karta Dużej Rodziny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661,00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Decyzja W K-P - Karta Dużej Rodziny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85504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Wspieranie rodziny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960 911,36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-919,62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959 991,74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619 872,34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-447,00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619 425,34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134 185,66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-462,00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133 723,66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18 725,36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-10,62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18 714,74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9 282,00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8 282,00</w:t>
            </w:r>
          </w:p>
        </w:tc>
      </w:tr>
      <w:tr>
        <w:tblPrEx>
          <w:tblW w:w="5000" w:type="pct"/>
          <w:tblLayout w:type="fixed"/>
        </w:tblPrEx>
        <w:trPr>
          <w:trHeight w:hRule="atLeast" w:val="405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4710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Wpłaty na PPK finansowane przez podmiot zatrudniający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2 650,00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3 650,00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rozliczenie dodatków motywacyjnych Świetlica Terapeutyczna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85516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System opieki nad dziećmi w wieku do lat 3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6 134 700,00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-8 152,19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6 126 547,81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4010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osobowe pracowników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3 571 456,52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-27 735,77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3 543 720,75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ubezpieczenia społeczne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554 358,36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-4 777,20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549 581,16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4120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Składki na Fundusz Pracy oraz Fundusz Solidarnościowy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76 400,00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-2 177,22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74 222,78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4170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Wynagrodzenia bezosobowe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74 750,00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10 824,00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85 574,00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144 810,00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5 832,00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150 642,00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4270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remontowych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57 466,23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59 466,23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106 264,00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7 882,00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114 146,00</w:t>
            </w:r>
          </w:p>
        </w:tc>
      </w:tr>
      <w:tr>
        <w:tblPrEx>
          <w:tblW w:w="5000" w:type="pct"/>
          <w:tblLayout w:type="fixed"/>
        </w:tblPrEx>
        <w:trPr>
          <w:trHeight w:hRule="atLeast" w:val="57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rozliczenie dodatków motywacyjnych CMDiR wraz z przesunięciem planu w związku z bieżącą działalności jednostki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900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Gospodarka komunalna i ochrona środowiska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16 108 692,42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-575 656,00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15 533 036,42</w:t>
            </w:r>
          </w:p>
        </w:tc>
      </w:tr>
      <w:tr>
        <w:tblPrEx>
          <w:tblW w:w="5000" w:type="pct"/>
          <w:tblLayout w:type="fixed"/>
        </w:tblPrEx>
        <w:trPr>
          <w:trHeight w:hRule="atLeast" w:val="45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90026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Pozostałe działania związane z gospodarką odpadami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-180 000,00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210 000,00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-180 000,00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30 000,00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Zmniejszenie planu do wysokości poniesionych wydatków - dotacja WFOŚiGW na utylizację azbestu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90095</w:t>
            </w: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1 850 000,00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-395 656,00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1 454 344,00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6057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942 930,00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-188 586,00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754 344,00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6059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841 385,00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-207 070,00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634 315,00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terminu realizacji zadania na 2027 rok - zagospodarowanie lasku komunalnego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921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i ochrona dziedzictwa narodowego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4 265 620,60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22 790,25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4 288 410,85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92109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Domy i ośrodki kultury, świetlice i kluby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3 088 334,60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8 290,25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3 096 624,85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186 653,91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7 660,25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194 314,16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4220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środków żywności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38 204,79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1 530,00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39 734,79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275 189,35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-10 900,00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264 289,35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56 000,00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10 000,00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66 000,00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92195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Pozostała działalność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125 586,00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14 500,00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140 086,00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4210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materiałów i wyposażenia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17 509,50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19 009,50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4260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energii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5 200,00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1 500,00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6 700,00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4300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Zakup usług pozostałych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66 476,50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11 500,00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77 976,50</w:t>
            </w:r>
          </w:p>
        </w:tc>
      </w:tr>
      <w:tr>
        <w:tblPrEx>
          <w:tblW w:w="5000" w:type="pct"/>
          <w:tblLayout w:type="fixed"/>
        </w:tblPrEx>
        <w:trPr>
          <w:trHeight w:hRule="atLeast" w:val="46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Przesunięcie planu pomiędzy ww paragrafami - bieżąca działalność świetlic wiejskich oraz rozliczenie kosztów dożynek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926</w:t>
            </w: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Kultura fizyczna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4 883 600,00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156 647,00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5 040 247,00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92601</w:t>
            </w:r>
          </w:p>
        </w:tc>
        <w:tc>
          <w:tcPr>
            <w:tcW w:w="91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Obiekty sportowe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4 109 600,00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156 647,00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4 266 247,00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5" w:type="dxa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870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91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6050</w:t>
            </w:r>
          </w:p>
        </w:tc>
        <w:tc>
          <w:tcPr>
            <w:tcW w:w="376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Wydatki inwestycyjne jednostek budżetowych</w:t>
            </w:r>
          </w:p>
        </w:tc>
        <w:tc>
          <w:tcPr>
            <w:tcW w:w="133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  <w:tcBorders>
              <w:top w:val="nil" w:sz="0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156 647,00</w:t>
            </w:r>
          </w:p>
        </w:tc>
        <w:tc>
          <w:tcPr>
            <w:tcW w:w="1335" w:type="dxa"/>
            <w:tcBorders>
              <w:top w:val="nil" w:sz="0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156 647,00</w:t>
            </w:r>
          </w:p>
        </w:tc>
      </w:tr>
      <w:tr>
        <w:tblPrEx>
          <w:tblW w:w="5000" w:type="pct"/>
          <w:tblLayout w:type="fixed"/>
        </w:tblPrEx>
        <w:trPr>
          <w:trHeight w:hRule="atLeast" w:val="765"/>
        </w:trPr>
        <w:tc>
          <w:tcPr>
            <w:tcW w:w="10080" w:type="dxa"/>
            <w:gridSpan w:val="7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i w:val="1"/>
                <w:sz w:val="16"/>
              </w:rPr>
              <w:t>Rozwój lokalnej infrastruktury sportowej poprzez remont zapleczy szatniowo sanitarnych, pomieszczeń przeznaczonych dla trenerów oraz remont ciągu komunikacyjnego - współfinansowanie ze środków Funduszu Rozwoju Kultury Fizycznej w ramach PROGRAMU SZATNIA NA MEDAL - EDYCJA DRUGA 2026</w:t>
            </w: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10080" w:type="dxa"/>
            <w:gridSpan w:val="7"/>
            <w:tcBorders>
              <w:top w:val="nil" w:sz="0" w:space="0" w:shadow="0" w:frame="0"/>
              <w:left w:val="single" w:sz="2" w:space="0" w:shadow="0" w:frame="0"/>
              <w:bottom w:val="nil" w:sz="0" w:space="0" w:shadow="0" w:frame="0"/>
              <w:right w:val="single" w:sz="2" w:space="0" w:shadow="0" w:frame="0"/>
            </w:tcBorders>
            <w:noWrap w:val="0"/>
            <w:textDirection w:val="lrTb"/>
            <w:vAlign w:val="top"/>
          </w:tcPr>
          <w:p>
            <w:pPr>
              <w:spacing w:before="0" w:after="0" w:beforeAutospacing="0" w:afterAutospacing="0"/>
              <w:jc w:val="lef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</w:tr>
      <w:tr>
        <w:tblPrEx>
          <w:tblW w:w="5000" w:type="pct"/>
          <w:tblLayout w:type="fixed"/>
        </w:tblPrEx>
        <w:trPr>
          <w:trHeight w:hRule="atLeast" w:val="300"/>
        </w:trPr>
        <w:tc>
          <w:tcPr>
            <w:tcW w:w="6165" w:type="dxa"/>
            <w:gridSpan w:val="4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b w:val="1"/>
                <w:sz w:val="16"/>
              </w:rPr>
              <w:t>Razem:</w:t>
            </w:r>
          </w:p>
        </w:tc>
        <w:tc>
          <w:tcPr>
            <w:tcW w:w="133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144 344 875,79</w:t>
            </w:r>
          </w:p>
        </w:tc>
        <w:tc>
          <w:tcPr>
            <w:tcW w:w="1245" w:type="dxa"/>
            <w:tcBorders>
              <w:top w:val="single" w:sz="2" w:space="0" w:shadow="0" w:frame="0"/>
              <w:left w:val="nil" w:sz="0" w:space="0" w:shadow="0" w:frame="0"/>
              <w:bottom w:val="single" w:sz="2" w:space="0" w:shadow="0" w:frame="0"/>
              <w:right w:val="nil" w:sz="0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-6 102 844,81</w:t>
            </w:r>
          </w:p>
        </w:tc>
        <w:tc>
          <w:tcPr>
            <w:tcW w:w="1335" w:type="dxa"/>
            <w:tcBorders>
              <w:top w:val="single" w:sz="2" w:space="0" w:shadow="0" w:frame="0"/>
              <w:left w:val="single" w:sz="2" w:space="0" w:shadow="0" w:frame="0"/>
              <w:bottom w:val="single" w:sz="2" w:space="0" w:shadow="0" w:frame="0"/>
              <w:right w:val="single" w:sz="2" w:space="0" w:shadow="0" w:frame="0"/>
            </w:tcBorders>
            <w:noWrap w:val="0"/>
            <w:textDirection w:val="lrTb"/>
            <w:vAlign w:val="center"/>
          </w:tcPr>
          <w:p>
            <w:pPr>
              <w:spacing w:before="0" w:after="0" w:beforeAutospacing="0" w:afterAutospacing="0"/>
              <w:jc w:val="right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sz w:val="16"/>
              </w:rPr>
              <w:t>138 242 030,98</w:t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przedstawiony na komisji Budżetu Rady Miejskiej w Sępólnie Krajeńskim i zaopiniowany pozytywnie.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AB.</w:t>
      </w: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M.Kabacinska</dc:creator>
  <dcterms:created xsi:type="dcterms:W3CDTF">2026-10-01T12:30:33Z</dcterms:created>
  <cp:lastModifiedBy>UMSK\M.Frosina</cp:lastModifiedBy>
  <dcterms:modified xsi:type="dcterms:W3CDTF">2026-10-05T05:36:53Z</dcterms:modified>
  <cp:revision>3</cp:revision>
  <dc:subject>zmieniająca uchwałę w sprawie uchwalenia budżetu Gminy Sępólno Krajeńskie na 2026 rok</dc:subject>
  <dc:title>Uchwała nr  XXXI/233/2026 z dnia 30 września 2026 r.</dc:title>
</cp:coreProperties>
</file>