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0D6F020" Type="http://schemas.openxmlformats.org/officeDocument/2006/relationships/officeDocument" Target="/word/document.xml" /><Relationship Id="coreR10D6F02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XXXI/232/2026</w:t>
        <w:br w:type="textWrapping"/>
        <w:t>Rady Miejskiej w Sępólnie Krajeńskim</w:t>
        <w:br w:type="textWrapping"/>
        <w:t>z dnia 30 września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57 761 180,50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15 483 898,54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23 099 641,75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19 472 746,73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4 448 101,43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1 746 214,00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38 288 433,77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11 035 797,11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21 353 427,75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22 387 155,33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7 125 682,23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10 251 177,58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5 642 311,73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2 620 660,18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311 082,00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16 744 843,60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4 505 022,05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10 179 963,58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2 732 843,60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5 872 000,00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2 387 692,42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3 912 307,58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lasku komunalnego w Sępólnie Krajeńskim - Zagospodarowanie lasku komunalnego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1 394 344,00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395 656,00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35 374 025,17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8 358 216,31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12 848 464,17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13 830 435,00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1 827 441,25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249 920,00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152 590,00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Ubezpieczenie majątku - Ubezpieczenie majątku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257 000,00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257 000,00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21 543 590,17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6 530 775,06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11 173 464,17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dla zadania pn. "Budowa drogi gminnej relacji Włościbórz – Włościbórek – Trzciany (Etap I)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boisk sportowych ORLIK - Kompleksowa modernizacja boisk sportowych ORLIK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1 100 000,00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1 100 000,00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Rozwój lokalnej infrastruktury sportowej poprzez remont zapleczy szatniowo sanitarnych, pomieszczeń przeznaczonych dla trenerów oraz remont ciągu komunikacyjnego - Remont zapleczy szatniowo sanitarnych CSiR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313 294,00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156 647,00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156 647,00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ul. Przemysłowej w kierunku na PSZOK - poprawa jakości dróg gminnych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47 742 540,29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15 353 315,43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32 389 224,86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17 376 859,81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2 691 874,18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181 508,00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14 684 985,63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lasku komunalnego w Sępólnie Krajeńskim - Zagospodarowanie lasku komunalnego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30 365 680,48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12 661 441,25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Ubezpieczenie majątku - Ubezpieczenie majątku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17 704 239,23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dla zadania pn. "Budowa drogi gminnej relacji Włościbórz – Włościbórek – Trzciany (Etap I)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boisk sportowych ORLIK - Kompleksowa modernizacja boisk sportowych ORLIK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1 100 000,00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Rozwój lokalnej infrastruktury sportowej poprzez remont zapleczy szatniowo sanitarnych, pomieszczeń przeznaczonych dla trenerów oraz remont ciągu komunikacyjnego - Remont zapleczy szatniowo sanitarnych CSiR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313 294,00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ul. Przemysłowej w kierunku na PSZOK - poprawa jakości dróg gminnych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2026-10-02T11:18:03Z</dcterms:created>
  <cp:lastModifiedBy>UMSK\M.Frosina</cp:lastModifiedBy>
  <dcterms:modified xsi:type="dcterms:W3CDTF">2026-10-05T05:31:05Z</dcterms:modified>
  <cp:revision>3</cp:revision>
  <dc:title>Uchwała nr  XXXI/232/2026 z dnia 30 września 2026 r.</dc:title>
</cp:coreProperties>
</file>