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EF61D6" Type="http://schemas.openxmlformats.org/officeDocument/2006/relationships/officeDocument" Target="/word/document.xml" /><Relationship Id="coreR2EF61D6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keepNext w:val="1"/>
        <w:spacing w:lineRule="auto" w:line="360" w:before="120" w:after="120" w:beforeAutospacing="0" w:afterAutospacing="0"/>
        <w:ind w:firstLine="0" w:left="4535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Załącznik do uchwały nr XXIX/228/2026</w:t>
        <w:br w:type="textWrapping"/>
        <w:t>Rady Miejskiej w Sępólnie Krajeńskim</w:t>
        <w:br w:type="textWrapping"/>
        <w:t>z dnia 3 sierpnia 2026 r.</w:t>
      </w:r>
    </w:p>
    <w:p>
      <w:pPr>
        <w:keepNext w:val="1"/>
        <w:spacing w:lineRule="auto" w:line="240" w:before="0" w:after="480" w:beforeAutospacing="0" w:afterAutospacing="0"/>
        <w:ind w:firstLine="0" w:left="0" w:right="0"/>
        <w:jc w:val="center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W dniu 6 lipca 2026 r. wpłynęła do Przewodniczącego Rady Miejskiej w Sępólnie Krajeńskim skarga na Burmistrza Sępólna Krajeńskiego.  Skarżący zarzuca Burmistrzowi Sępólna Krajeńskiego dokonanie wyboru niewłaściwego wariantu przebiegu planowanej obwodnicy Sępólna Krajeńskiego oraz brak organizacji spotkań z mieszkańcami w przedmiotowej sprawie.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Komisja Skarg, Wniosków i Petycji Rady Miejskiej w Sępólnie Krajeńskim na swoim posiedzeniu w dniu 10 lipca 2026 r. przeprowadziła postępowanie wyjaśniające w sprawie  skargi z dnia 6 lipca 2026 r. Po zapoznaniu się z treścią skargi, wyjaśnieniami Burmistrza Sępólna Krajeńskiego oraz zgromadzoną dokumentacją Komisja Skarg, Wniosków i Petycji Rady Miejskiej w Sępólnie Krajeńskim wnioskuje o uznanie skargi za bezzasadną.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Odnosząc się do zarzutu dotyczącego wyboru wariantu przebiegu obwodnicy, należy wskazać, że Burmistrz nie jest organem właściwym do wyboru wariantu przebiegu inwestycji drogowej tego rodzaju. Wybór wariantu następuje w ramach odrębnej procedury prowadzonej przez właściwego inwestora, w tym przypadku przez Generalną Dyrekcję Dróg Krajowych i Autostrad Oddział w Bydgoszczy i odpowiednie organy, zgodnie z obowiązującymi przepisami prawa. Tym samym przypisanie decyzji za wybór konkretnego wariantu przebiegu obwodnicy jest nieuzasadnione.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Nie potwierdził się również zarzut dotyczący braku organizacji spotkań z mieszkańcami. Z ustaleń Komisji Skarg, Wniosków i Petycji Rady Miejskiej w Sępólnie Krajeńskim wynika, że w toku przygotowania inwestycji odbywały się konsultacje społeczne oraz spotkania informacyjne, podczas których mieszkańcy mieli możliwość zapoznania się z planowanym przedsięwzięciem, przedstawienia swoich uwag oraz zadawania pytań. Oznacza to, że mieszkańcom zapewniono możliwość udziału w procesie konsultacyjnym, a zarzut braku organizacji spotkań nie znajduje potwierdzenia. Ogólnodostępne konsultacje z mieszkańcami, podczas których przedstawiono warianty przebiegu obwodnicy odbyły się w dniu 6 grudnia  2016 r., a w dniu 23 kwietnia 2026 r. odbyło się także ogólnodostępne spotkanie z mieszkańcami, gdzie zaprezentowano rozwiązania projektowe oraz omawiano szczegóły planowanej inwestycji. Ponadto w dniu 10 marca 2025 r. odbyła się konferencja prasowa pn. „Plan realizacji zadań na drogach krajowych na terenie Powiatu Sępoleńskiego w nadchodzących latach”. Zaznaczyć należy, że w dniu 13 stycznia 2026 r. zorganizowane zostało spotkanie dedykowane skarżącemu z udziałem projektanta i przedstawicieli Generalnej Dyrekcji Dróg Krajowych i Autostrad Oddział w Bydgoszczy w sprawie przebiegu obwodnicy przez nieruchomość skarżącego.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 xml:space="preserve">Mając powyższe na uwadze Rada Miejska w Sępólnie Krajeńskim uznała, że zarzuty podniesione w skardze nie znalazły potwierdzenia.  Wobec powyższego Rada Miejska w Sępólnie Krajeńskim uznała skargę za bezzasadną.</w:t>
      </w:r>
    </w:p>
    <w:p>
      <w:pPr>
        <w:keepNext w:val="1"/>
        <w:keepLines w:val="1"/>
        <w:spacing w:lineRule="auto" w:line="240" w:before="120" w:after="120" w:beforeAutospacing="0" w:afterAutospacing="0"/>
        <w:ind w:firstLine="227" w:left="0" w:right="0"/>
        <w:jc w:val="both"/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hAnsi="Times New Roman"/>
          <w:b w:val="0"/>
          <w:caps w:val="0"/>
          <w:strike w:val="0"/>
          <w:color w:val="auto"/>
          <w:sz w:val="22"/>
          <w:u w:val="none"/>
        </w:rPr>
        <w:t>Pouczenie: Zgodnie z dyspozycją art. 239 ustawy – Kodeks postępowania administracyjnego – Rada Miejska w Sępólnie Krajeńskim informuje, że wskutek uznania skargi za bezzasadną, jeżeli skarżący ponowi ją bez wskazania nowych okoliczności – wówczas Rada Miejska w Sępólnie Krajeńskim może podtrzymać swoje stanowisko nanosząc odpowiednią adnotację w aktach sprawy – bez zawiadamiania o tym skarżącego.</w:t>
      </w: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blPrEx>
          <w:tblW w:w="5000" w:type="pct"/>
        </w:tblPrEx>
        <w:trPr>
          <w:trHeight w:hRule="atLeast" w:val="1860"/>
        </w:trPr>
        <w:tc>
          <w:tcPr>
            <w:tcW w:w="49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</w:pPr>
          </w:p>
        </w:tc>
        <w:tc>
          <w:tcPr>
            <w:tcW w:w="493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 w:val="1"/>
              <w:keepLines w:val="1"/>
              <w:spacing w:before="560" w:after="560" w:beforeAutospacing="0" w:afterAutospacing="0"/>
              <w:ind w:firstLine="0" w:left="1134" w:right="1134"/>
              <w:jc w:val="center"/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instrText>MERGEFIELD SIGNATURE_0_0__FUNCTION \* MERGEFORMAT</w:instrTex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Przewodniczący Rady Miejskiej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br w:type="textWrapping"/>
              <w:br w:type="textWrapping"/>
              <w:br w:type="textWrapping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fldChar w:fldCharType="begin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instrText>MERGEFIELD SIGNATURE_0_0_FIRSTNAME \* MERGEFORMAT</w:instrTex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Artur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fldChar w:fldCharType="end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 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fldChar w:fldCharType="begin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instrText>MERGEFIELD SIGNATURE_0_0_LASTNAME \* MERGEFORMAT</w:instrTex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fldChar w:fldCharType="separate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Juhnke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fldChar w:fldCharType="end"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2"/>
              </w:rPr>
              <w:t> </w:t>
            </w:r>
          </w:p>
        </w:tc>
      </w:tr>
    </w:tbl>
    <w:p>
      <w:pPr>
        <w:keepNext w:val="1"/>
        <w:spacing w:before="0" w:after="0" w:beforeAutospacing="0" w:afterAutospacing="0"/>
        <w:rPr>
          <w:rFonts w:ascii="Times New Roman" w:hAnsi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</w:p>
    <w:sectPr>
      <w:endnotePr>
        <w:numFmt w:val="decimal"/>
      </w:endnotePr>
      <w:type w:val="nextPage"/>
      <w:pgSz w:w="11906" w:h="16838" w:code="0"/>
      <w:pgMar w:left="1020" w:right="1020" w:top="1417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T.Dix</dc:creator>
  <dcterms:created xsi:type="dcterms:W3CDTF">2026-07-15T11:53:54Z</dcterms:created>
  <cp:lastModifiedBy>UMSK\M.Frosina</cp:lastModifiedBy>
  <dcterms:modified xsi:type="dcterms:W3CDTF">2026-08-06T06:49:15Z</dcterms:modified>
  <cp:revision>8</cp:revision>
  <dc:subject>w sprawie rozpatrzenia skargi z dnia 6 lipca 2026r.</dc:subject>
  <dc:title>Uchwała nr  XXIX/…/2026 z dnia 3 sierpnia 2026 r.</dc:title>
</cp:coreProperties>
</file>