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3664500D" Type="http://schemas.openxmlformats.org/officeDocument/2006/relationships/officeDocument" Target="/word/document.xml" /><Relationship Id="coreR3664500D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keepNext w:val="1"/>
        <w:spacing w:lineRule="auto" w:line="360" w:before="120" w:after="120" w:beforeAutospacing="0" w:afterAutospacing="0"/>
        <w:ind w:firstLine="0" w:left="4535" w:right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Załącznik do uchwały nr XXIX/227/2026</w:t>
        <w:br w:type="textWrapping"/>
        <w:t>Rady Miejskiej w Sępólnie Krajeńskim</w:t>
        <w:br w:type="textWrapping"/>
        <w:t>z dnia 3 sierpnia 2026 r.</w:t>
      </w:r>
    </w:p>
    <w:p>
      <w:pPr>
        <w:keepNext w:val="1"/>
        <w:spacing w:lineRule="auto" w:line="240" w:before="0" w:after="480" w:beforeAutospacing="0" w:afterAutospacing="0"/>
        <w:ind w:firstLine="0" w:left="0" w:right="0"/>
        <w:jc w:val="center"/>
        <w:rPr>
          <w:rFonts w:ascii="Times New Roman" w:hAnsi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hAnsi="Times New Roman"/>
          <w:b w:val="1"/>
          <w:caps w:val="0"/>
          <w:sz w:val="22"/>
        </w:rPr>
        <w:t>Uzasadnienie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0" w:right="0"/>
        <w:jc w:val="both"/>
        <w:rPr>
          <w:rFonts w:ascii="Times New Roman" w:hAnsi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hAnsi="Times New Roman"/>
          <w:b w:val="0"/>
          <w:caps w:val="0"/>
          <w:strike w:val="0"/>
          <w:color w:val="auto"/>
          <w:sz w:val="22"/>
          <w:u w:val="none"/>
        </w:rPr>
        <w:t>W dniu 10 czerwca 2026 r. wpłynęła do Przewodniczącego Rady Miejskiej w Sępólnie Krajeńskim Skarga na Sołtysa Sołectwa Świdwie. Skarżący zarzuca Sołtysowi Sołectwa Świdwie zablokowanie skarżącego do uczestnictwa w profilu Sołectwa Świdwie prowadzonego w serwisie facebook, wskazując, że ten profil pełni funkcję oficjalnego kanału komunikacji z mieszkańcami, a zastosowana blokada ogranicza mu dostęp do informacji dotyczących funkcjonowania sołectwa.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0" w:right="0"/>
        <w:jc w:val="both"/>
        <w:rPr>
          <w:rFonts w:ascii="Times New Roman" w:hAnsi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hAnsi="Times New Roman"/>
          <w:b w:val="0"/>
          <w:caps w:val="0"/>
          <w:strike w:val="0"/>
          <w:color w:val="auto"/>
          <w:sz w:val="22"/>
          <w:u w:val="none"/>
        </w:rPr>
        <w:t xml:space="preserve">Wobec skomplikowanego przedmiotu skargi Rada Miejska w Sępólnie Krajeńskim w dniu 24 czerwca 2026 r. zadecydowała o przedłużeniu terminu jej rozpatrzenia do dnia 28 sierpnia 2026 r. W związku ze zwołaniem nadzwyczajnej sesji Rady Miejskiej w Sępólnie Krajeńskim na dzień </w:t>
      </w:r>
      <w:r>
        <w:rPr>
          <w:rFonts w:ascii="Times New Roman" w:hAnsi="Times New Roman"/>
          <w:b w:val="0"/>
          <w:caps w:val="0"/>
          <w:strike w:val="0"/>
          <w:color w:val="auto"/>
          <w:sz w:val="22"/>
          <w:u w:val="none"/>
          <w:lang w:val="pl-PL" w:bidi="pl-PL" w:eastAsia="pl-PL"/>
        </w:rPr>
        <w:t xml:space="preserve">3 </w:t>
      </w:r>
      <w:r>
        <w:rPr>
          <w:rFonts w:ascii="Times New Roman" w:hAnsi="Times New Roman"/>
          <w:b w:val="0"/>
          <w:caps w:val="0"/>
          <w:strike w:val="0"/>
          <w:color w:val="auto"/>
          <w:sz w:val="22"/>
          <w:u w:val="none"/>
        </w:rPr>
        <w:t>sierpnia</w:t>
      </w:r>
      <w:r>
        <w:rPr>
          <w:rFonts w:ascii="Times New Roman" w:hAnsi="Times New Roman"/>
          <w:b w:val="0"/>
          <w:caps w:val="0"/>
          <w:strike w:val="0"/>
          <w:color w:val="auto"/>
          <w:sz w:val="22"/>
          <w:u w:val="none"/>
          <w:lang w:val="pl-PL" w:bidi="pl-PL" w:eastAsia="pl-PL"/>
        </w:rPr>
        <w:t xml:space="preserve"> 2026 r.</w:t>
      </w:r>
      <w:r>
        <w:rPr>
          <w:rFonts w:ascii="Times New Roman" w:hAnsi="Times New Roman"/>
          <w:b w:val="0"/>
          <w:caps w:val="0"/>
          <w:strike w:val="0"/>
          <w:color w:val="auto"/>
          <w:sz w:val="22"/>
          <w:u w:val="none"/>
        </w:rPr>
        <w:t xml:space="preserve"> skarga została rozpatrzona w terminie wcześniejszym.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0" w:right="0"/>
        <w:jc w:val="both"/>
        <w:rPr>
          <w:rFonts w:ascii="Times New Roman" w:hAnsi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hAnsi="Times New Roman"/>
          <w:b w:val="0"/>
          <w:caps w:val="0"/>
          <w:strike w:val="0"/>
          <w:color w:val="auto"/>
          <w:sz w:val="22"/>
          <w:u w:val="none"/>
        </w:rPr>
        <w:t>Komisja Skarg, Wniosków i Petycji Rady Miejskiej w Sępólnie Krajeńskim na swoim posiedzeniu w dniu 10 lipca 2026 r. przeprowadziła postępowanie wyjaśniające w sprawie przedmiotowej skargi. Po dokonaniu jej wnikliwej analizy Komisja Skarg, Wniosków i Petycji wnioskuje o uznanie skargi na Sołtysa Sołectwa Świdwie za bezzasadną, stwierdzając, że zarzuty postawione przez skarżącego nie posiadają potwierdzenia w ustalonych faktach.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0" w:right="0"/>
        <w:jc w:val="both"/>
        <w:rPr>
          <w:rFonts w:ascii="Times New Roman" w:hAnsi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hAnsi="Times New Roman"/>
          <w:b w:val="0"/>
          <w:caps w:val="0"/>
          <w:strike w:val="0"/>
          <w:color w:val="auto"/>
          <w:sz w:val="22"/>
          <w:u w:val="none"/>
        </w:rPr>
        <w:t xml:space="preserve">Komisja Skarg, Wniosków i Petycji stwierdziła, że Sołtys wykonuje zadania określone w ustawie o samorządzie gminnym oraz statucie sołectwa. Żaden przepis prawa powszechnie obowiązującego nie nakłada na sołtysa obowiązku prowadzenia profilu w mediach społecznościowych ani nie określa zasad jego administrowania. Prowadzenie przez sołtysa profilu w serwisie </w:t>
      </w:r>
      <w:r>
        <w:rPr>
          <w:rFonts w:ascii="Times New Roman" w:hAnsi="Times New Roman"/>
          <w:b w:val="0"/>
          <w:caps w:val="0"/>
          <w:strike w:val="0"/>
          <w:color w:val="auto"/>
          <w:sz w:val="22"/>
          <w:u w:val="none"/>
          <w:lang w:val="pl-PL" w:bidi="pl-PL" w:eastAsia="pl-PL"/>
        </w:rPr>
        <w:t>F</w:t>
      </w:r>
      <w:r>
        <w:rPr>
          <w:rFonts w:ascii="Times New Roman" w:hAnsi="Times New Roman"/>
          <w:b w:val="0"/>
          <w:caps w:val="0"/>
          <w:strike w:val="0"/>
          <w:color w:val="auto"/>
          <w:sz w:val="22"/>
          <w:u w:val="none"/>
        </w:rPr>
        <w:t>acebook stanowi fakultatywną formę komunikacji, która nie jest nadzorowana przez Gminę. Nie zastępuje ona ustawowych sposobów udostępniania informacji, ani wykonywania obowiązków organów gminy i jednostek pomocniczych. Informacje dotyczące działalności organów gminy, jednostek pomocniczych oraz spraw publicznych udostępniane są w przewidzianych prawem formach, w szczególności poprzez Biuletyn Informacji Publicznej, stronę internetową gminy, tablice ogłoszeń oraz inne formy określone w przepisach prawa. Wobec czego skarżący poprzez zastosowanie wobec niego blokady nie został pozbawiony możliwości uzyskiwania informacji publicznej w ustawowym trybie. Komisja zaznacza ponadto, że twierdzenie skarżącej zawarte w skardze o konflikcie osobistym zaistniałym pomiędzy stronami nie jest przedmiotem prowadzonego postępowania skargowego. Dotyczy to również żądań zawartych w skardze w zakresie zobowiązania sołtysa do przeprosin, oraz opracowania zasad prowadzenia profili w mediach społecznościowych.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0" w:right="0"/>
        <w:jc w:val="both"/>
        <w:rPr>
          <w:rFonts w:ascii="Times New Roman" w:hAnsi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hAnsi="Times New Roman"/>
          <w:b w:val="0"/>
          <w:caps w:val="0"/>
          <w:strike w:val="0"/>
          <w:color w:val="auto"/>
          <w:sz w:val="22"/>
          <w:u w:val="none"/>
        </w:rPr>
        <w:t>Mając powyższe na uwadze Rada Miejska w Sępólnie Krajeńskim uznała skargę za bezzasadną.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0" w:right="0"/>
        <w:jc w:val="both"/>
        <w:rPr>
          <w:rFonts w:ascii="Times New Roman" w:hAnsi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hAnsi="Times New Roman"/>
          <w:b w:val="0"/>
          <w:caps w:val="0"/>
          <w:strike w:val="0"/>
          <w:color w:val="auto"/>
          <w:sz w:val="22"/>
          <w:u w:val="none"/>
        </w:rPr>
        <w:t>Pouczenie: Zgodnie z dyspozycją art. 239 ustawy – Kodeks postępowania administracyjnego – Rada Miejska w Sępólnie Krajeńskim informuje, że wskutek uznania skargi za bezzasadną, jeżeli skarżący ponowi ją bez wskazania nowych okoliczności – wówczas Rada Miejska w Sępólnie Krajeńskim może podtrzymać swoje stanowisko nanosząc odpowiednią adnotację w aktach sprawy – bez zawiadamiania o tym skarżącego.</w:t>
      </w:r>
    </w:p>
    <w:tbl>
      <w:tblPr>
        <w:tblStyle w:val="T1"/>
        <w:tblW w:w="5000" w:type="pct"/>
        <w:tblBorders>
          <w:top w:val="none" w:sz="4" w:space="0" w:shadow="0" w:frame="0" w:color="000000"/>
          <w:left w:val="none" w:sz="4" w:space="0" w:shadow="0" w:frame="0" w:color="000000"/>
          <w:bottom w:val="none" w:sz="4" w:space="0" w:shadow="0" w:frame="0" w:color="000000"/>
          <w:right w:val="none" w:sz="4" w:space="0" w:shadow="0" w:frame="0" w:color="000000"/>
        </w:tblBorders>
        <w:tblLook w:val="04A0"/>
      </w:tblPr>
      <w:tblGrid/>
      <w:tr>
        <w:tc>
          <w:tcPr>
            <w:tcW w:w="2500" w:type="pct"/>
            <w:tcBorders>
              <w:right w:val="none" w:sz="4" w:space="0" w:shadow="0" w:frame="0" w:color="000000"/>
            </w:tcBorders>
            <w:vAlign w:val="top"/>
          </w:tcPr>
          <w:p>
            <w:pPr>
              <w:keepNext w:val="0"/>
              <w:keepLines w:val="0"/>
              <w:spacing w:lineRule="auto" w:line="240" w:before="120" w:after="120" w:beforeAutospacing="0" w:afterAutospacing="0"/>
              <w:ind w:firstLine="0" w:left="0" w:right="0"/>
              <w:jc w:val="both"/>
              <w:rPr>
                <w:rFonts w:ascii="Times New Roman" w:hAnsi="Times New Roman"/>
                <w:b w:val="0"/>
                <w:caps w:val="0"/>
                <w:strike w:val="0"/>
                <w:color w:val="auto"/>
                <w:sz w:val="22"/>
                <w:u w:val="none"/>
              </w:rPr>
            </w:pPr>
          </w:p>
        </w:tc>
        <w:tc>
          <w:tcPr>
            <w:tcW w:w="2500" w:type="pct"/>
            <w:tcBorders>
              <w:left w:val="none" w:sz="4" w:space="0" w:shadow="0" w:frame="0" w:color="000000"/>
            </w:tcBorders>
            <w:vAlign w:val="top"/>
          </w:tcPr>
          <w:p>
            <w:pPr>
              <w:keepNext w:val="0"/>
              <w:keepLines w:val="0"/>
              <w:spacing w:lineRule="auto" w:line="240" w:before="120" w:after="120" w:beforeAutospacing="0" w:afterAutospacing="0"/>
              <w:ind w:firstLine="0" w:left="0" w:right="0"/>
              <w:jc w:val="center"/>
              <w:rPr>
                <w:rFonts w:ascii="Times New Roman" w:hAnsi="Times New Roman"/>
                <w:b w:val="0"/>
                <w:caps w:val="0"/>
                <w:strike w:val="0"/>
                <w:color w:val="auto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caps w:val="0"/>
                <w:strike w:val="0"/>
                <w:color w:val="auto"/>
                <w:sz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caps w:val="0"/>
                <w:strike w:val="0"/>
                <w:color w:val="auto"/>
                <w:sz w:val="22"/>
                <w:u w:val="none"/>
              </w:rPr>
              <w:instrText>SIGNATURE_0_1_FUNCTION</w:instrText>
            </w:r>
            <w:r>
              <w:rPr>
                <w:rFonts w:ascii="Times New Roman" w:hAnsi="Times New Roman"/>
                <w:b w:val="0"/>
                <w:caps w:val="0"/>
                <w:strike w:val="0"/>
                <w:color w:val="auto"/>
                <w:sz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0"/>
                <w:caps w:val="0"/>
                <w:strike w:val="0"/>
                <w:color w:val="auto"/>
                <w:sz w:val="22"/>
                <w:u w:val="none"/>
              </w:rPr>
              <w:t xml:space="preserve">Przewodniczący Rady Miejskiej </w:t>
            </w:r>
            <w:r>
              <w:rPr>
                <w:rFonts w:ascii="Times New Roman" w:hAnsi="Times New Roman"/>
                <w:b w:val="0"/>
                <w:caps w:val="0"/>
                <w:strike w:val="0"/>
                <w:color w:val="auto"/>
                <w:sz w:val="22"/>
                <w:u w:val="none"/>
              </w:rPr>
              <w:fldChar w:fldCharType="end"/>
            </w:r>
          </w:p>
          <w:p>
            <w:pPr>
              <w:keepNext w:val="0"/>
              <w:keepLines w:val="0"/>
              <w:spacing w:lineRule="auto" w:line="240" w:before="120" w:after="120" w:beforeAutospacing="0" w:afterAutospacing="0"/>
              <w:ind w:firstLine="0" w:left="0" w:right="0"/>
              <w:jc w:val="center"/>
              <w:rPr>
                <w:rFonts w:ascii="Times New Roman" w:hAnsi="Times New Roman"/>
                <w:b w:val="0"/>
                <w:caps w:val="0"/>
                <w:strike w:val="0"/>
                <w:color w:val="auto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caps w:val="0"/>
                <w:strike w:val="0"/>
                <w:color w:val="auto"/>
                <w:sz w:val="22"/>
                <w:u w:val="none"/>
              </w:rPr>
              <w:t xml:space="preserve"> </w:t>
            </w:r>
          </w:p>
          <w:p>
            <w:pPr>
              <w:keepNext w:val="0"/>
              <w:keepLines w:val="0"/>
              <w:spacing w:lineRule="auto" w:line="240" w:before="120" w:after="120" w:beforeAutospacing="0" w:afterAutospacing="0"/>
              <w:ind w:firstLine="0" w:left="0" w:right="0"/>
              <w:jc w:val="center"/>
              <w:rPr>
                <w:rFonts w:ascii="Times New Roman" w:hAnsi="Times New Roman"/>
                <w:b w:val="0"/>
                <w:caps w:val="0"/>
                <w:strike w:val="0"/>
                <w:color w:val="auto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caps w:val="0"/>
                <w:strike w:val="0"/>
                <w:color w:val="auto"/>
                <w:sz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caps w:val="0"/>
                <w:strike w:val="0"/>
                <w:color w:val="auto"/>
                <w:sz w:val="22"/>
                <w:u w:val="none"/>
              </w:rPr>
              <w:instrText>SIGNATURE_0_1_FIRSTNAME</w:instrText>
            </w:r>
            <w:r>
              <w:rPr>
                <w:rFonts w:ascii="Times New Roman" w:hAnsi="Times New Roman"/>
                <w:b w:val="0"/>
                <w:caps w:val="0"/>
                <w:strike w:val="0"/>
                <w:color w:val="auto"/>
                <w:sz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1"/>
                <w:caps w:val="0"/>
                <w:strike w:val="0"/>
                <w:color w:val="auto"/>
                <w:sz w:val="22"/>
                <w:u w:val="none"/>
              </w:rPr>
              <w:t xml:space="preserve">Artur   </w:t>
            </w:r>
            <w:r>
              <w:rPr>
                <w:rFonts w:ascii="Times New Roman" w:hAnsi="Times New Roman"/>
                <w:b w:val="0"/>
                <w:caps w:val="0"/>
                <w:strike w:val="0"/>
                <w:color w:val="auto"/>
                <w:sz w:val="22"/>
                <w:u w:val="none"/>
              </w:rPr>
              <w:fldChar w:fldCharType="end"/>
            </w:r>
            <w:r>
              <w:rPr>
                <w:rFonts w:ascii="Times New Roman" w:hAnsi="Times New Roman"/>
                <w:b w:val="0"/>
                <w:caps w:val="0"/>
                <w:strike w:val="0"/>
                <w:color w:val="auto"/>
                <w:sz w:val="22"/>
                <w:u w:val="none"/>
              </w:rPr>
              <w:fldChar w:fldCharType="begin"/>
            </w:r>
            <w:r>
              <w:rPr>
                <w:rFonts w:ascii="Times New Roman" w:hAnsi="Times New Roman"/>
                <w:b w:val="0"/>
                <w:caps w:val="0"/>
                <w:strike w:val="0"/>
                <w:color w:val="auto"/>
                <w:sz w:val="22"/>
                <w:u w:val="none"/>
              </w:rPr>
              <w:instrText>SIGNATURE_0_1_LASTNAME</w:instrText>
            </w:r>
            <w:r>
              <w:rPr>
                <w:rFonts w:ascii="Times New Roman" w:hAnsi="Times New Roman"/>
                <w:b w:val="0"/>
                <w:caps w:val="0"/>
                <w:strike w:val="0"/>
                <w:color w:val="auto"/>
                <w:sz w:val="22"/>
                <w:u w:val="none"/>
              </w:rPr>
              <w:fldChar w:fldCharType="separate"/>
            </w:r>
            <w:r>
              <w:rPr>
                <w:rFonts w:ascii="Times New Roman" w:hAnsi="Times New Roman"/>
                <w:b w:val="1"/>
                <w:caps w:val="0"/>
                <w:strike w:val="0"/>
                <w:color w:val="auto"/>
                <w:sz w:val="22"/>
                <w:u w:val="none"/>
              </w:rPr>
              <w:t>Juhnke</w:t>
            </w:r>
            <w:r>
              <w:rPr>
                <w:rFonts w:ascii="Times New Roman" w:hAnsi="Times New Roman"/>
                <w:b w:val="0"/>
                <w:caps w:val="0"/>
                <w:strike w:val="0"/>
                <w:color w:val="auto"/>
                <w:sz w:val="22"/>
                <w:u w:val="none"/>
              </w:rPr>
              <w:fldChar w:fldCharType="end"/>
            </w:r>
          </w:p>
        </w:tc>
      </w:tr>
    </w:tbl>
    <w:p>
      <w:pPr>
        <w:keepNext w:val="0"/>
        <w:keepLines w:val="0"/>
        <w:spacing w:lineRule="auto" w:line="240" w:before="120" w:after="120" w:beforeAutospacing="0" w:afterAutospacing="0"/>
        <w:ind w:firstLine="227" w:left="0" w:right="0"/>
        <w:jc w:val="both"/>
        <w:rPr>
          <w:rFonts w:ascii="Times New Roman" w:hAnsi="Times New Roman"/>
          <w:b w:val="0"/>
          <w:caps w:val="0"/>
          <w:strike w:val="0"/>
          <w:color w:val="auto"/>
          <w:sz w:val="22"/>
          <w:u w:val="none"/>
        </w:rPr>
      </w:pPr>
    </w:p>
    <w:sectPr>
      <w:endnotePr>
        <w:numFmt w:val="decimal"/>
      </w:endnotePr>
      <w:type w:val="nextPage"/>
      <w:pgSz w:w="11906" w:h="16838" w:code="0"/>
      <w:pgMar w:left="1020" w:right="1020" w:top="1417" w:bottom="992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 w:val="pl-PL" w:bidi="pl-PL" w:eastAsia="pl-PL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jc w:val="both"/>
    </w:pPr>
    <w:rPr>
      <w:rFonts w:ascii="Times New Roman" w:hAnsi="Times New Roman"/>
      <w:sz w:val="22"/>
      <w:lang w:val="pl-PL" w:bidi="pl-PL" w:eastAsia="pl-PL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rPr>
      <w:lang w:val="pl-PL" w:bidi="pl-PL"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category>Akt prawny</cp:category>
  <dc:creator>T.Dix</dc:creator>
  <dcterms:created xsi:type="dcterms:W3CDTF">2026-07-15T11:58:15Z</dcterms:created>
  <cp:lastModifiedBy>UMSK\M.Frosina</cp:lastModifiedBy>
  <dcterms:modified xsi:type="dcterms:W3CDTF">2026-08-06T06:47:07Z</dcterms:modified>
  <cp:revision>11</cp:revision>
  <dc:subject>w sprawie rozpatrzenia skargi z dnia 1 czerwca 2026r.</dc:subject>
  <dc:title>Uchwała nr  XXIX/…/2026 z dnia 3 sierpnia 2026 r.</dc:title>
</cp:coreProperties>
</file>