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93656AE" Type="http://schemas.openxmlformats.org/officeDocument/2006/relationships/officeDocument" Target="/word/document.xml" /><Relationship Id="coreR293656A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  <w:lang w:val="pl-PL" w:bidi="pl-PL" w:eastAsia="pl-PL"/>
        </w:rPr>
      </w:pP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Zgodnie z art. 18 ust. 2 pkt 9 lit. a ustawy z dnia 8 marca 1990 r. o samorządzie gminnym, do wyłącznej właściwości rady gminy należy podejmowanie uchwał w sprawach majątkowych gminy dotyczących m.in. zasad nabywania nieruchomości.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Gmina Sępólno Krajeńskie w związku z koniecznością uregulowania stanu prawnego nieruchomości złożyła do Wojewody Kujawsko-Pomorskiego wniosek w sprawie komunalizacji przedmiotowych nieruchomości. Niezbędnym załącznikiem do wniosku jest uchwała Rady Miejskiej w Sępólnie Krajeńskim w sprawie wyrażenia zgody na nabycie prawa własności nieruchomości. Podjęcie przedmiotowej uchwały jest uzasadnione oraz konieczne. 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pozytywnie zaopiniowany przez Komisję Gospodarki Komunalnej oraz Porządku Publicznego Rady Miejskiej w Sępólnie Krajeńskim.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Przewodniczący Rady 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2024-10-07T09:30:33Z</dcterms:created>
  <cp:lastModifiedBy>HOST-13\Frosina</cp:lastModifiedBy>
  <dcterms:modified xsi:type="dcterms:W3CDTF">2026-06-25T08:47:52Z</dcterms:modified>
  <cp:revision>41</cp:revision>
  <dc:subject>w sprawie nadania nazwy "Rondo Unii Europejskiej" rondu położonemu na skrzyżowaniu ul. Tadeusza Kościuszki, ul. Odrodzenia oraz ul. bł. ks. Jerzego Popiełuszki w Sępólnie Krajeńskim</dc:subject>
  <dc:title>Uchwała Nr VII/.../2024 z dnia 30 października 2024 r.</dc:title>
</cp:coreProperties>
</file>