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E4778" Type="http://schemas.openxmlformats.org/officeDocument/2006/relationships/officeDocument" Target="/word/document.xml" /><Relationship Id="coreR39E477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Wieloletniej Prognozy Finansowej związana jest z aktualizacją wartości i okresu realizacji przedsięwzięć (m.in. cyberbezpieczny samorząd, uzbrojenie terenów inwestycyjnych).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Aktualizuje się dochody i wydatki do wysokości określonych w uchwale budżetowej. Aktualizuje się źródła finansowania deficytu na podstawie wykonania budżetu za 2025 rok.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 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2026-04-30T12:41:40Z</dcterms:created>
  <cp:lastModifiedBy>HOST-13\Frosina</cp:lastModifiedBy>
  <dcterms:modified xsi:type="dcterms:W3CDTF">2026-05-04T09:57:16Z</dcterms:modified>
  <cp:revision>5</cp:revision>
  <dc:subject>zmieniająca uchwałę w sprawie Wieloletniej Prognozy Finansowej Gminy Sępólno Krajeńskie</dc:subject>
  <dc:title>Uchwała nr  XXVI/204/2026 z dnia 29 kwietnia 2026 r.</dc:title>
</cp:coreProperties>
</file>