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F75F080" Type="http://schemas.openxmlformats.org/officeDocument/2006/relationships/officeDocument" Target="/word/document.xml" /><Relationship Id="coreR5F75F08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Działając na podstawie art. 11a ust. 1 ustawy z dnia 21 sierpnia 1997 r. o ochronie zwierząt, Rada Miejska ma obowiązek przyjąć w drodze uchwały, corocznie do dnia 31 marca, program opieki nad zwierzętami bezdomnymi oraz zapobiegania bezdomności zwierząt. Zgodnie z obowiązującymi przepisami, przyjmuje się przedmiotowy Program na rok 2026.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W toku prac nad projektem Programu wpłynęła opinia Koła Łowieckiego Nr 13 „Słonka”, zawierająca szereg zastrzeżeń.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P</w:t>
      </w:r>
      <w:r>
        <w:rPr>
          <w:rFonts w:ascii="Times New Roman" w:hAnsi="Times New Roman"/>
          <w:b w:val="0"/>
          <w:caps w:val="0"/>
          <w:sz w:val="22"/>
        </w:rPr>
        <w:t>o wnikliwej analizie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,</w:t>
      </w:r>
      <w:r>
        <w:rPr>
          <w:rFonts w:ascii="Times New Roman" w:hAnsi="Times New Roman"/>
          <w:b w:val="0"/>
          <w:caps w:val="0"/>
          <w:sz w:val="22"/>
        </w:rPr>
        <w:t xml:space="preserve"> postanowi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ono</w:t>
      </w:r>
      <w:r>
        <w:rPr>
          <w:rFonts w:ascii="Times New Roman" w:hAnsi="Times New Roman"/>
          <w:b w:val="0"/>
          <w:caps w:val="0"/>
          <w:sz w:val="22"/>
        </w:rPr>
        <w:t xml:space="preserve"> nie uwzględniać zgłoszonych uwag.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Zgodnie z art. 11a ust. 2 pkt 2 ustawy o ochronie zwierząt, opieka nad wolno żyjącymi kotami,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br w:type="textWrapping"/>
      </w:r>
      <w:r>
        <w:rPr>
          <w:rFonts w:ascii="Times New Roman" w:hAnsi="Times New Roman"/>
          <w:b w:val="0"/>
          <w:caps w:val="0"/>
          <w:sz w:val="22"/>
        </w:rPr>
        <w:t>w tym ich dokarmianie, jest obligatoryjnym elementem programu. Gmina nie ma prawnej możliwości wykreślenia tego zadania, gdyż stanowiłoby to rażące naruszenie ustawowego obowiązku.</w:t>
        <w:tab/>
      </w:r>
    </w:p>
    <w:p>
      <w:pPr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W zakresie postulatu wprowadzenia eutanazji zwierząt nieadoptowanych: propozycja ta jest sprzeczna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br w:type="textWrapping"/>
      </w:r>
      <w:r>
        <w:rPr>
          <w:rFonts w:ascii="Times New Roman" w:hAnsi="Times New Roman"/>
          <w:b w:val="0"/>
          <w:caps w:val="0"/>
          <w:sz w:val="22"/>
        </w:rPr>
        <w:t>z art. 33 ustawy o ochronie zwierząt, który zawiera zamknięty katalog przypadków, w których dopuszczalne jest uśmiercenie zwierzęcia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, tj.</w:t>
      </w:r>
      <w:r>
        <w:rPr>
          <w:rFonts w:ascii="Times New Roman" w:hAnsi="Times New Roman"/>
          <w:b w:val="0"/>
          <w:caps w:val="0"/>
          <w:sz w:val="22"/>
        </w:rPr>
        <w:t xml:space="preserve"> </w:t>
      </w:r>
      <w:r>
        <w:t xml:space="preserve">usunięcie poważnego zagrożenia sanitarnego ludzi </w:t>
      </w:r>
      <w:r>
        <w:rPr>
          <w:lang w:val="pl-PL" w:bidi="pl-PL" w:eastAsia="pl-PL"/>
        </w:rPr>
        <w:br w:type="textWrapping"/>
      </w:r>
      <w:r>
        <w:t>lub zwierząt, humanitarne – zakończenie cierpienia, niezbędne do realizacji zadań związanych z ochroną przyrody na obszarze parku narodowego</w:t>
      </w:r>
      <w:r>
        <w:rPr>
          <w:rFonts w:ascii="Times New Roman" w:hAnsi="Times New Roman"/>
          <w:b w:val="0"/>
          <w:caps w:val="0"/>
          <w:sz w:val="22"/>
        </w:rPr>
        <w:t xml:space="preserve">. Ustawa nie przewiduje możliwości uśmiercenia zwierzęcia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br w:type="textWrapping"/>
      </w:r>
      <w:r>
        <w:rPr>
          <w:rFonts w:ascii="Times New Roman" w:hAnsi="Times New Roman"/>
          <w:b w:val="0"/>
          <w:caps w:val="0"/>
          <w:sz w:val="22"/>
        </w:rPr>
        <w:t>z powodu "braku adopcji" czy "racjonalizacji kosztów". Wprowadzenie takiego zapisu byłoby sprzeczne z zasadą humanitaryzmu.</w:t>
        <w:tab/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Ustawa nakłada na gminę obowiązek realizacji pełnego spektrum działań (w tym m.in. opieki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br w:type="textWrapping"/>
      </w:r>
      <w:r>
        <w:rPr>
          <w:rFonts w:ascii="Times New Roman" w:hAnsi="Times New Roman"/>
          <w:b w:val="0"/>
          <w:caps w:val="0"/>
          <w:sz w:val="22"/>
        </w:rPr>
        <w:t>w schronisku, kastracji, poszukiwania właścicieli). Ograniczenie programu wyłącznie do wyłapywania zwierząt naruszałoby kompleksowy charakter zadań własnych gminy określonych w art. 11a ust. 2.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Podział środków finansowych w §4 Programu został dostosowany do realnych potrzeb i możliwości budżetowych Gminy, zapewniając realizację wszystkich ustawowych obowiązków w sposób ciągły.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Biorąc pod uwagę, że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zastrzeżenia</w:t>
      </w:r>
      <w:r>
        <w:rPr>
          <w:rFonts w:ascii="Times New Roman" w:hAnsi="Times New Roman"/>
          <w:b w:val="0"/>
          <w:caps w:val="0"/>
          <w:sz w:val="22"/>
        </w:rPr>
        <w:t xml:space="preserve"> Koła Łowieckiego zmierzały do wprowadzenia rozwiązań sprzecznych z powszechnie obowiązującym prawem, Rada Miejska uznała je za bezzasadne, podtrzymując pierwotne brzmienie projektu Programu.”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Wpłynęła również opinia Powiatowego Lekarza Weterynarii w Sępólnie Krajeńskim. Rada Miejska,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br w:type="textWrapping"/>
      </w:r>
      <w:r>
        <w:rPr>
          <w:rFonts w:ascii="Times New Roman" w:hAnsi="Times New Roman"/>
          <w:b w:val="0"/>
          <w:caps w:val="0"/>
          <w:sz w:val="22"/>
        </w:rPr>
        <w:t xml:space="preserve">po analizie zastrzeżeń Powiatowego Lekarza Weterynarii, podtrzymuje dotychczasowy model zapewnienia opieki weterynaryjnej poprzez wskazanie wiodącego gabinetu oraz doraźną współpracę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br w:type="textWrapping"/>
      </w:r>
      <w:r>
        <w:rPr>
          <w:rFonts w:ascii="Times New Roman" w:hAnsi="Times New Roman"/>
          <w:b w:val="0"/>
          <w:caps w:val="0"/>
          <w:sz w:val="22"/>
        </w:rPr>
        <w:t xml:space="preserve">z innymi podmiotami.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Procedury zgłaszania zdarzeń drogowych po godzinach pracy Urzędu uznano za wystarczające,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br w:type="textWrapping"/>
      </w:r>
      <w:r>
        <w:rPr>
          <w:rFonts w:ascii="Times New Roman" w:hAnsi="Times New Roman"/>
          <w:b w:val="0"/>
          <w:caps w:val="0"/>
          <w:sz w:val="22"/>
        </w:rPr>
        <w:t>a szczegółowe wymogi bytowe zwierząt uznano za regulowane bezpośrednio przez przepisy wyższego rzędu, co wyklucza potrzebę ich powielania w programie.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 Projekt uchwały został pozytywnie zaopiniowany przez Komisję Gospodarki Komunalnej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i</w:t>
      </w:r>
      <w:r>
        <w:rPr>
          <w:rFonts w:ascii="Times New Roman" w:hAnsi="Times New Roman"/>
          <w:b w:val="0"/>
          <w:caps w:val="0"/>
          <w:sz w:val="22"/>
        </w:rPr>
        <w:t xml:space="preserve"> Porządku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Publicznego, a także Komisję Rolnictwa, Leśnictwa i Ochrony Środowiska Rady Miejskiej w Sępólnie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Krajeńskim.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</w:tblPr>
      <w:tblGrid/>
      <w:t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SIGNATURE_0_1_FUNCTION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Przewodniczący Rady Miejskiej</w:t>
            </w:r>
            <w:r>
              <w:rPr>
                <w:color w:val="000000"/>
              </w:rPr>
              <w:fldChar w:fldCharType="end"/>
            </w:r>
          </w:p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SIGNATURE_0_1_FIRSTNAME</w:instrText>
            </w:r>
            <w:r>
              <w:rPr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 xml:space="preserve">Artur 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SIGNATURE_0_1_LASTNAME</w:instrText>
            </w:r>
            <w:r>
              <w:rPr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Juhnke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 w:type="textWrapping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2024-02-12T11:02:16Z</dcterms:created>
  <cp:lastModifiedBy>HOST-13\Frosina</cp:lastModifiedBy>
  <dcterms:modified xsi:type="dcterms:W3CDTF">2026-03-27T08:23:46Z</dcterms:modified>
  <cp:revision>40</cp:revision>
  <dc:subject>w sprawie przyjęcia Programu opieki nad zwierzętami bezdomnymi oraz zapobiegania bezdomności zwierząt na terenie Gminy Sępólno Krajeńskie na rok 2024</dc:subject>
  <dc:title>Uchwała Nr .../.../2024 z dnia 27 marca 2024 r.</dc:title>
</cp:coreProperties>
</file>