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32EA92" Type="http://schemas.openxmlformats.org/officeDocument/2006/relationships/officeDocument" Target="/word/document.xml" /><Relationship Id="coreR832EA9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18 ust. 2 pkt 9 lit. a ustawy o samorządzie gminnym, do wyłącznej właściwości Rady Miejskiej należy między innymi podejmowanie uchwał w sprawach majątkowych gminy, dotyczących nabywania nieruchomości.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Przedmiotem niniejszej uchwały jest wyrażenie zgody na nieodpłatne nabycie nieruchomości gruntowej położonej w miejscowości Kawle, oznaczonej numerem ewidencyjnym 293, obręb geodezyjny nr 4 Kawle, gm. Sępólno Krajeńskie, o powierzchni 0,1035 ha.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Przedmiotowa nieruchomość zostanie przeznaczona na realizację celu publicznego w zakresie rekreacji oraz integracji mieszkańców.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Przedmiotowa nieruchomość nie jest objęta miejscowym planem zagospodarowania przestrzennego, natomiast w studium uwarunkowań i kierunków zagospodarowania przestrzennego położona jest na obszarze oznaczonym symbolem R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M3</w:t>
      </w:r>
      <w:r>
        <w:rPr>
          <w:rFonts w:ascii="Times New Roman" w:hAnsi="Times New Roman"/>
          <w:b w:val="0"/>
          <w:caps w:val="0"/>
          <w:sz w:val="22"/>
        </w:rPr>
        <w:t xml:space="preserve"> - obszary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zabudowy zagrodowej o charaktaerze wielorodzinnym.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 Sępólnie 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/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</w:rPr>
            </w:pP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>MERGEFIELD SIGNATURE_0_0__FUNCTION \* MERGEFORMAT</w:instrText>
            </w:r>
            <w:r>
              <w:rPr>
                <w:shd w:val="clear" w:color="auto" w:fill="FFFFFF"/>
              </w:rPr>
              <w:fldChar w:fldCharType="separate"/>
            </w:r>
            <w:r>
              <w:rPr>
                <w:shd w:val="clear" w:color="auto" w:fill="FFFFFF"/>
              </w:rPr>
              <w:t xml:space="preserve">Przewodniczący Rady  Miejskiej</w:t>
            </w:r>
            <w:r>
              <w:fldChar w:fldCharType="end"/>
            </w:r>
            <w:r>
              <w:rPr>
                <w:shd w:val="clear" w:color="auto" w:fill="FFFFFF"/>
              </w:rPr>
              <w:br w:type="textWrapping"/>
              <w:br w:type="textWrapping"/>
              <w:br w:type="textWrapping"/>
            </w:r>
            <w:r>
              <w:rPr>
                <w:b w:val="1"/>
                <w:shd w:val="clear" w:color="auto" w:fill="FFFFFF"/>
              </w:rPr>
              <w:fldChar w:fldCharType="begin"/>
            </w:r>
            <w:r>
              <w:rPr>
                <w:b w:val="1"/>
                <w:shd w:val="clear" w:color="auto" w:fill="FFFFFF"/>
              </w:rPr>
              <w:instrText>MERGEFIELD SIGNATURE_0_0_FIRSTNAME \* MERGEFORMAT</w:instrText>
            </w:r>
            <w:r>
              <w:rPr>
                <w:b w:val="1"/>
                <w:shd w:val="clear" w:color="auto" w:fill="FFFFFF"/>
              </w:rPr>
              <w:fldChar w:fldCharType="separate"/>
            </w:r>
            <w:r>
              <w:rPr>
                <w:b w:val="1"/>
                <w:shd w:val="clear" w:color="auto" w:fill="FFFFFF"/>
              </w:rPr>
              <w:t>Artur</w:t>
            </w:r>
            <w:r>
              <w:rPr>
                <w:b w:val="1"/>
              </w:rPr>
              <w:fldChar w:fldCharType="end"/>
            </w:r>
            <w:r>
              <w:rPr>
                <w:b w:val="1"/>
                <w:shd w:val="clear" w:color="auto" w:fill="FFFFFF"/>
              </w:rPr>
              <w:t> </w:t>
            </w:r>
            <w:r>
              <w:rPr>
                <w:b w:val="1"/>
                <w:shd w:val="clear" w:color="auto" w:fill="FFFFFF"/>
              </w:rPr>
              <w:fldChar w:fldCharType="begin"/>
            </w:r>
            <w:r>
              <w:rPr>
                <w:b w:val="1"/>
                <w:shd w:val="clear" w:color="auto" w:fill="FFFFFF"/>
              </w:rPr>
              <w:instrText>MERGEFIELD SIGNATURE_0_0_LASTNAME \* MERGEFORMAT</w:instrText>
            </w:r>
            <w:r>
              <w:rPr>
                <w:b w:val="1"/>
                <w:shd w:val="clear" w:color="auto" w:fill="FFFFFF"/>
              </w:rPr>
              <w:fldChar w:fldCharType="separate"/>
            </w:r>
            <w:r>
              <w:rPr>
                <w:b w:val="1"/>
                <w:shd w:val="clear" w:color="auto" w:fill="FFFFFF"/>
              </w:rPr>
              <w:t>Juhnke</w:t>
            </w:r>
            <w:r>
              <w:rPr>
                <w:b w:val="1"/>
              </w:rPr>
              <w:fldChar w:fldCharType="end"/>
            </w:r>
            <w:r>
              <w:rPr>
                <w:b w:val="1"/>
                <w:shd w:val="clear" w:color="auto" w:fill="FFFFFF"/>
              </w:rPr>
              <w:t> 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2024-11-04T09:58:54Z</dcterms:created>
  <cp:lastModifiedBy>HOST-13\Frosina</cp:lastModifiedBy>
  <dcterms:modified xsi:type="dcterms:W3CDTF">2026-03-27T08:20:09Z</dcterms:modified>
  <cp:revision>15</cp:revision>
  <dc:subject>w sprawie wyrażenia zgody na nieodpłatne nabycie nieruchomości gruntowej położonej w miejscowości Piaseczno, gm. Sępólno Krajeńskie</dc:subject>
  <dc:title>Uchwała Nr VIII/.../2024 z dnia 27 listopada 2024 r.</dc:title>
</cp:coreProperties>
</file>