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AE2B2F" Type="http://schemas.openxmlformats.org/officeDocument/2006/relationships/officeDocument" Target="/word/document.xml" /><Relationship Id="coreR66AE2B2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7a ust. 1 ustawy z dnia 21 lutego 2014 r. o funduszu sołeckim rada gminy rozstrzyga o wyodrębnieniu w budżecie gminy środków finansowych na realizację przedsięwzięć przewidzianych do wykonania w jednostkach pomocniczych gminy innych niż sołectwa, do dnia 31 marca roku poprzedzającego rok budżetowy, podejmując uchwałę, w której wyraża albo nie wyraża zgody na wyodrębnienie funduszu w roku budżetowym.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niniejszej uchwały uzyskał pozytywną opinię Komisji Budżetu Rady Miejskiej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2026-03-16T08:53:10Z</dcterms:created>
  <cp:lastModifiedBy>HOST-13\Frosina</cp:lastModifiedBy>
  <dcterms:modified xsi:type="dcterms:W3CDTF">2026-03-27T08:11:08Z</dcterms:modified>
  <cp:revision>9</cp:revision>
  <dc:subject>w sprawie wyrażenia zgody na wyodrębnienie w budżecie Gminy Sępólno Krajeńskie środków na przedsięwzięcia przewidziane do realizacji w innych niż sołectwo jednostkach pomocniczych</dc:subject>
  <dc:title>Uchwała nr  XXV/…/2026 z dnia 25 marca 2026 r.</dc:title>
</cp:coreProperties>
</file>