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1DDD23" Type="http://schemas.openxmlformats.org/officeDocument/2006/relationships/officeDocument" Target="/word/document.xml" /><Relationship Id="coreR111DDD2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 20 lutego 2026 r. wpłynęła do Przewodniczącego Rady Miejskiej w Sępólnie Krajeńskim skarga na Burmistrza Sępólna Krajeńskiego przekazana wg właściwości przez Wojewódzki Inspektora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t</w:t>
      </w:r>
      <w:r>
        <w:rPr>
          <w:rFonts w:ascii="Times New Roman" w:hAnsi="Times New Roman"/>
          <w:b w:val="0"/>
          <w:caps w:val="0"/>
          <w:sz w:val="22"/>
        </w:rPr>
        <w:t xml:space="preserve"> Ochrony Środowiska w Bydgoszczy. Przewodniczący Rady Miejskiej w Sępólnie Krajeńskim na podstawie § 109 d ust. 1 pkt 3 Statutu Gminy Sępólno Krajeńskie z dnia 23 kwietnia 2003 r. (t.j. Dz. Urz. Woj. Kuj – Pom. z 2020 r. poz. 834 z późn. zm.)  skierował skargę do rozpatrzenia do Komisji Skarg, Wniosków i Petycji Rady Miejskiej w Sępólnie Krajeńskim. Komisja Skarg, Wniosków i Petycji Rady Miejskiej w Sępólnie Krajeńskim po przeprowadzeniu postępowania wyjaśniającego w dniu 23 lutego 2026 r. przygotowała projekt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Przewodniczący Rady Miejskiej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 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Dix</dc:creator>
  <dcterms:created xsi:type="dcterms:W3CDTF">2026-02-23T11:36:42Z</dcterms:created>
  <cp:lastModifiedBy>HOST-13\Frosina</cp:lastModifiedBy>
  <dcterms:modified xsi:type="dcterms:W3CDTF">2026-02-26T08:55:11Z</dcterms:modified>
  <cp:revision>7</cp:revision>
  <dc:subject>w sprawie przedłużenia terminu rozpatrzenia skargi z dnia 12 lutego 2026 r.</dc:subject>
  <dc:title>Uchwała nr  XXIV/…/2026 z dnia 25 lutego 2026 r.</dc:title>
</cp:coreProperties>
</file>