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036C2A" Type="http://schemas.openxmlformats.org/officeDocument/2006/relationships/officeDocument" Target="/word/document.xml" /><Relationship Id="coreR39036C2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 dniu  13 lutego 2026 r. wpłynęła do Przewodniczącego Rady Miejskiej w Sępólnie Krajeńskim skarga na Burmistrza Sępólna Krajeńskiego przekazana wg właściwości przez Wojewodę Kujawsko - Pomorskiego. Przewodniczący Rady Miejskiej w Sępólnie Krajeńskim na podstawie § 109 d ust. 1 pkt 3 Statutu Gminy Sępólno Krajeńskie z dnia 23 kwietnia 2003 r. (t.j. Dz. Urz. Woj. Kuj – Pom. z 2020 r. poz. 834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z późn. zm.</w:t>
      </w:r>
      <w:r>
        <w:rPr>
          <w:rFonts w:ascii="Times New Roman" w:hAnsi="Times New Roman"/>
          <w:b w:val="0"/>
          <w:caps w:val="0"/>
          <w:sz w:val="22"/>
        </w:rPr>
        <w:t>) skierował skargę do rozpatrzenia do Komisji Skarg, Wniosków i Petycji Rady Miejskiej w Sępólnie Krajeńskim. Komisja Skarg, Wniosków i Petycji Rady Miejskiej w Sępólnie Krajeńskim po przeprowadzeniu postępowania wyjaśniającego w dniu 20 lutego 2026 r. przygotowała projekt niniejszej uchwały.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Przewodniczący Rady Miejskiej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 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Dix</dc:creator>
  <dcterms:created xsi:type="dcterms:W3CDTF">2026-02-20T10:33:10Z</dcterms:created>
  <cp:lastModifiedBy>HOST-13\Frosina</cp:lastModifiedBy>
  <dcterms:modified xsi:type="dcterms:W3CDTF">2026-02-26T08:52:16Z</dcterms:modified>
  <cp:revision>9</cp:revision>
  <dc:subject>w sprawie przedłużenia terminu rozpatrzenia skargi</dc:subject>
  <dc:title>Uchwała nr  XXIV/…/2026 z dnia 25 lutego 2026 r.</dc:title>
</cp:coreProperties>
</file>