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413EF9E" Type="http://schemas.openxmlformats.org/officeDocument/2006/relationships/officeDocument" Target="/word/document.xml" /><Relationship Id="coreR6413EF9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Rada Miejska w Sępólnie Krajeńskim zgodnie z art. 18 ust. 2 pkt 2 ustawy z dnia  8 marca 1990 roku o samorządzie gminnym (Dz. U. z 2025 r., poz. 1153) posiada wyłączną kompetencję do ustalenia wynagrodzenia Burmistrza Sępólna Krajeńskiego wybranego na kadencję 2024 – 2029.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Projekt niniejszej uchwały uzyskał pozytywną opinię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wszystkich k</w:t>
      </w:r>
      <w:r>
        <w:rPr>
          <w:rFonts w:ascii="Times New Roman" w:hAnsi="Times New Roman"/>
          <w:b w:val="0"/>
          <w:caps w:val="0"/>
          <w:sz w:val="22"/>
        </w:rPr>
        <w:t xml:space="preserve">omisji  Rady Miejskiej w Sępólnie Krajeńskim.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c>
          <w:tcPr>
            <w:tcW w:w="50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instrText>MERGEFIELD MANUALLY_FORMATTED_SIGNATURE_1_1 \* MERGEFORMAT</w:instrText>
            </w: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fldChar w:fldCharType="end"/>
            </w:r>
          </w:p>
        </w:tc>
        <w:tc>
          <w:tcPr>
            <w:tcW w:w="50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instrText>MERGEFIELD MANUALLY_FORMATTED_SIGNATURE_1_2 \* MERGEFORMAT</w:instrText>
            </w: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  <w:fldChar w:fldCharType="end"/>
            </w:r>
            <w:r>
              <w:t>Przewodniczący Rady Miejskiej</w:t>
            </w:r>
          </w:p>
          <w:p/>
          <w:p>
            <w:pPr>
              <w:jc w:val="center"/>
            </w:pPr>
            <w:r>
              <w:t>Artur Juhnke</w:t>
            </w:r>
          </w:p>
        </w:tc>
      </w:tr>
    </w:tbl>
    <w:p>
      <w:pPr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Wojtania</dc:creator>
  <dcterms:created xsi:type="dcterms:W3CDTF">2026-02-06T10:02:14Z</dcterms:created>
  <cp:lastModifiedBy>HOST-13\Frosina</cp:lastModifiedBy>
  <dcterms:modified xsi:type="dcterms:W3CDTF">2026-02-26T08:49:44Z</dcterms:modified>
  <cp:revision>21</cp:revision>
  <dc:subject>w sprawie ustalenia wynagrodzenia Burmistrza Sępólna Krajeńskiego</dc:subject>
  <dc:title>Uchwała nr  XXIV/     /2026 z dnia 25 lutego 2026 r.</dc:title>
</cp:coreProperties>
</file>