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9CC06D" Type="http://schemas.openxmlformats.org/officeDocument/2006/relationships/officeDocument" Target="/word/document.xml" /><Relationship Id="coreR289CC0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Przeznaczona do sprzedaży nieruchomość działka nr 1086/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3</w:t>
      </w:r>
      <w:r>
        <w:rPr>
          <w:rFonts w:ascii="Times New Roman" w:hAnsi="Times New Roman"/>
          <w:b w:val="0"/>
          <w:caps w:val="0"/>
          <w:sz w:val="22"/>
        </w:rPr>
        <w:t>, położona w obrębie ewidencyjnym 3 Sępólno Krajeńskie, nie jest objęta miejscowym planem zagospodarowania przestrzennego, natomiast w studium uwarunkowań i kierunków zagospodarowania przestrzennego położona jest na obszarze oznaczonym symbolem M1 - obszary wielofunkcyjne z przeważającym udziałem zabudowy mieszkaniowej jednorodzinnej zlokalizowane w obszarze miasta.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ze zmianą granic działki uchyla się uchwałę nr X/94/2025 Rady Miejskiej w Sępólnie Krajeńskim z dnia 29 stycznia 2025 r. w sprawie sprzedaży nieruchomości gruntowej położonej przy ul. Stanisława Wyspiańskiego w Sępólnie Krajeńskim oraz przyjmuje się niniejszą uchwałę.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2026-01-13T12:54:45Z</dcterms:created>
  <cp:lastModifiedBy>HOST-13\Frosina</cp:lastModifiedBy>
  <dcterms:modified xsi:type="dcterms:W3CDTF">2026-01-29T10:49:35Z</dcterms:modified>
  <cp:revision>22</cp:revision>
  <dc:subject>w sprawie sprzedaży nieruchomości gruntowej nr 1086/4 położonej przy ul. Targowej w Sępólnie Krajeńskim</dc:subject>
  <dc:title>Uchwała nr  XXIII/.../2026 z dnia 28 stycznia 2026 r.</dc:title>
</cp:coreProperties>
</file>