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476D4A" Type="http://schemas.openxmlformats.org/officeDocument/2006/relationships/officeDocument" Target="/word/document.xml" /><Relationship Id="coreR11476D4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Zgodnie z art. 18 ust. 2 pkt 8 ustawy z dnia 8 marca 1990 r. o samorządzie gminnym, do wyłącznej właściwości rady gminy należy podejmowanie uchwał w sprawach podatków i opłat w granicach określonych w odrębnych ustawach, natomiast w oparciu o art. 40 ust. 1 tejże ustawy, na podstawie upoważnień ustawowych gminie przysługuje prawo stanowienia aktów prawa miejscowego obowiązujących na obszarze gminy. Zgodnie z art. 7 ust. 3 ustawy z dnia 12 stycznia 1991 r. o podatkach i opłatach lokalnych (Dz. U. z 2025 r. poz. 707) rada gminy, w drodze uchwały, może wprowadzić inne zwolnienia przedmiotowe niż okreslone w ust. 1 oraz w art. 10 ust. 1 ustawy z dnia 2 października 2003 r. o zmianie ustawy o specjalnych strefach ekonomicznych i niektórych ustaw.</w:t>
      </w:r>
    </w:p>
    <w:p>
      <w:pPr>
        <w:keepNext w:val="0"/>
        <w:keepLines w:val="0"/>
        <w:spacing w:lineRule="auto" w:line="240" w:before="120" w:after="120" w:beforeAutospacing="0" w:afterAutospacing="0"/>
        <w:ind w:firstLine="720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5 ustawy z dnia 20 lipca 2000 r. o ogłaszaniu aktów normatywnych i niektórych innych aktów prawnych (Dz. U.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 xml:space="preserve">z 2019 r. poz. 1461) dopuszcza się możliwość nadania aktowi normatywnemu mocy obowiązującej z datą wcześniejszą niż dzień jego ogłoszenia, pod warunkiem że nie narusza to zasad demokratycznego państwa prawnego. W przypadku niniejszej uchwały warunek ten został spełniony. Mając na uwadze, że proponowana uchwała działa wyłącznie na korzyść podatników i służy realizacji ważnych celów publicznych, możliwe jest wprowadzenie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zwolnienia z</w:t>
      </w:r>
      <w:r>
        <w:rPr>
          <w:rFonts w:ascii="Times New Roman" w:hAnsi="Times New Roman"/>
          <w:b w:val="0"/>
          <w:caps w:val="0"/>
          <w:sz w:val="22"/>
        </w:rPr>
        <w:t xml:space="preserve"> podatku od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nieruchomości</w:t>
      </w:r>
      <w:r>
        <w:rPr>
          <w:rFonts w:ascii="Times New Roman" w:hAnsi="Times New Roman"/>
          <w:b w:val="0"/>
          <w:caps w:val="0"/>
          <w:sz w:val="22"/>
        </w:rPr>
        <w:t xml:space="preserve"> z mocą obowiązującą od 1 stycznia 202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6</w:t>
      </w:r>
      <w:r>
        <w:rPr>
          <w:rFonts w:ascii="Times New Roman" w:hAnsi="Times New Roman"/>
          <w:b w:val="0"/>
          <w:caps w:val="0"/>
          <w:sz w:val="22"/>
        </w:rPr>
        <w:t> r. Takie rozwiązanie jest zgodne z zasadą zaufania obywateli do państwa i stanowionego przez nie prawa oraz spełnia przesłanki konstytucyjnie dopuszczalnej retroaktywności.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Proponowane zwolnienie od podatku od nieruchomości dotyczy nieruchomości zajętych przez jednostki ochrony przeciwpożarowej, o ile są one wykorzystywane wyłącznie do realizacji zadań z zakresu ochrony przeciwpożarowej, ratownictwa oraz usuwania skutków klęsk żywiołowych i innych miejscowych zagrożeń.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Jednostki ochrony przeciwpożarowej wykonują zadania o charakterze publicznym, służące zapewnieniu bezpieczeństwa mieszkańców oraz ochronie życia, zdrowia i mienia.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Mając na uwadze społeczny charakter działalności wyżej wymienionych jednostek oraz fakt, iż zwolnienie dotyczy okreslonego rodzaju nieruchomości wykorzystywanych na cele publiczne, podjęcie niniejszej uchwały uznano za zasadne.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Projekt niniejszej uchwały uzyskał pozytywną opinię wszystkich stałych komisji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Wrotniak</dc:creator>
  <dcterms:created xsi:type="dcterms:W3CDTF">2026-01-19T10:09:31Z</dcterms:created>
  <cp:lastModifiedBy>HOST-13\Frosina</cp:lastModifiedBy>
  <dcterms:modified xsi:type="dcterms:W3CDTF">2026-01-29T11:39:13Z</dcterms:modified>
  <cp:revision>6</cp:revision>
  <dc:subject>w sprawie wprowadzenia zwolnień od podatku od nieruchomości na terenie Gminy Sępólno Krajeńskie</dc:subject>
  <dc:title>Uchwała nr  XXIII/.../2026 z dnia 28 stycznia 2026 r.</dc:title>
</cp:coreProperties>
</file>