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C9BBB6" Type="http://schemas.openxmlformats.org/officeDocument/2006/relationships/officeDocument" Target="/word/document.xml" /><Relationship Id="coreR7CC9BBB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Prace nad budżetem Gminy Sępólno Krajeńskie na rok 2026 przebiegały w oparciu o przepisy art. 51 ustawy z dnia 8 marca 1990r. o samorządzie gminnym, art. 233 i 238 ustawy z dnia 29 sierpnia 2009r. o finansach publicznych oraz Uchwały Rady Miejskiej w Sępólnie Krajeńskim Nr L/353/10 z dnia 26 sierpnia 2010r. w sprawie procedury uchwalania budżetu Gminy Sępólno Krajeńskie oraz rodzaju i szczegółowości materiałów informacyjnych towarzyszących projektowi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Budżet Gminy Sępólno Krajeńskie na 2026 rok został opracowany w oparciu o następujące założenia: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·przewidywane wykonanie dochodów i wydatków na koniec 2025 roku,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·wskaźnik wzrostu dochodów na poziomie 3,0%, wydatków rzeczowych na poziomie 3,0%, wydatków na wynagrodzenia 6,7%,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·przedstawione przez Ministerstwo Finansów wielkości planowanej subwencji ogólnej,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·przedstawione przez Ministerstwo Finansów wielkości dochodów Gminy Sępólno Krajeńskie z tytułu udziałów we wpływach z podatku dochodowego od osób fizycznych i prawnych,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·przedstawione przez Kujawsko-Pomorski Urząd Wojewódzki wielkości dotacji celowych przeznaczonych na realizację zadań zleconych i własnych gminy oraz na podstawie porozumień z organami administracji rządowej,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·podpisane dotychczas umowy na realizację zadań z udziałem środków zewnętrznych oraz przewidywany wpływ dofinansowania związany z ich realizacją.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Wysokość dochodów i wydatków budżetu uzasadniono w części tabelaryczno-opisowej, wg działów, rozdziałów i paragrafów klasyfikacji budżetowej, z podziałem na dochody i wydatki bieżące oraz dochody i wydatki majątkowe. Szczegółowy opis poszczególnych pozycji uchwały budżetowej został zawarty w załącznikach stanowiących jej integralną część.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2025-12-16T12:07:59Z</dcterms:created>
  <cp:lastModifiedBy>HOST-13\Frosina</cp:lastModifiedBy>
  <dcterms:modified xsi:type="dcterms:W3CDTF">2025-12-17T11:53:59Z</dcterms:modified>
  <cp:revision>17</cp:revision>
  <dc:subject>w sprawie uchwalenia budżetu Gminy Sępólno Krajeńskie na 2026 rok</dc:subject>
  <dc:title>Uchwała nr  XXII/173/2025 z dnia 15 grudnia 2025 r.</dc:title>
</cp:coreProperties>
</file>