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8C80EF8" Type="http://schemas.openxmlformats.org/officeDocument/2006/relationships/officeDocument" Target="/word/document.xml" /><Relationship Id="coreR78C80EF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OBJAŚNIENIA</w:t>
      </w:r>
    </w:p>
    <w:p>
      <w:pPr>
        <w:tabs>
          <w:tab w:val="left" w:pos="108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 w:beforeAutospacing="0" w:afterAutospacing="0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Do załącznika nr 1 Wieloletniej Prognozy Finansowej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Wieloletnia Prognoza Finansowa zawiera obligatoryjne elementy określone w art. 226 ust. 1 i 2 ustawy o finansach publicznych.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Wzrost dochodów i wydatków w latach </w:t>
      </w:r>
      <w:r>
        <w:rPr>
          <w:rFonts w:ascii="Times New Roman" w:hAnsi="Times New Roman"/>
          <w:color w:val="000000"/>
          <w:sz w:val="20"/>
        </w:rPr>
        <w:t>2025 - 2035</w:t>
      </w:r>
      <w:r>
        <w:rPr>
          <w:rFonts w:ascii="Times New Roman" w:hAnsi="Times New Roman"/>
          <w:sz w:val="20"/>
        </w:rPr>
        <w:t xml:space="preserve"> przyjęto głównie na pozi</w:t>
      </w:r>
      <w:r>
        <w:rPr>
          <w:rFonts w:ascii="Times New Roman" w:hAnsi="Times New Roman"/>
          <w:color w:val="000000"/>
          <w:sz w:val="20"/>
        </w:rPr>
        <w:t>omie 5% na p</w:t>
      </w:r>
      <w:r>
        <w:rPr>
          <w:rFonts w:ascii="Times New Roman" w:hAnsi="Times New Roman"/>
          <w:sz w:val="20"/>
        </w:rPr>
        <w:t>odstawie danych Ministerstwa Finansów oraz analizy własnej budżetów z lat poprzednich.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Spłaty zobowiązań ustalono na podstawie zawartych umów, odsetki od nich oszacowano na podstawie analizy własnej. 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wydatkach bieżących na obsługę długu w latach </w:t>
      </w:r>
      <w:r>
        <w:rPr>
          <w:rFonts w:ascii="Times New Roman" w:hAnsi="Times New Roman"/>
          <w:color w:val="000000"/>
          <w:sz w:val="20"/>
        </w:rPr>
        <w:t xml:space="preserve">objętych prognozą </w:t>
      </w:r>
      <w:r>
        <w:rPr>
          <w:rFonts w:ascii="Times New Roman" w:hAnsi="Times New Roman"/>
          <w:sz w:val="20"/>
        </w:rPr>
        <w:t xml:space="preserve">ujęto tylko odsetki od zaciągniętych pożyczek i kredytów. 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>Przeznacz</w:t>
      </w:r>
      <w:r>
        <w:rPr>
          <w:rFonts w:ascii="Times New Roman" w:hAnsi="Times New Roman"/>
          <w:color w:val="000000"/>
          <w:sz w:val="20"/>
        </w:rPr>
        <w:t>a się nadwyżkę budżetową na spłaty zobowiązań w latach kolejnych.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Planowane dochody ze sprzedaży majątku obejmują  w roku 2026 - sprzedaż działek i lokali.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Prognozę kwoty długu sporządzono w oparciu o zawarte umowy pożyczkowe i kredytowe oraz przewidywane do zaciągnięcia zobowiązania finansowe. 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Planowane dochody majątkowe w 2026 roku dotyczą dofinansowania zadań w ramach RFPŁ, RFRD, KPO oraz PROW na lata 2014-2020, realizowanych w oparciu o podpisane umowy o dofinansowanie i promesy.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Planowane wydatki inwestycyjne w 2026 roku stanowią ponad 20% wydatków ogółem. Prognoza wydatków inwestycyjnych na kolejne lata została sporządzona z uwzględnieniem wskaźnika wzrostu dochodów i wydatków.</w:t>
      </w:r>
    </w:p>
    <w:p>
      <w:pPr>
        <w:numPr>
          <w:ilvl w:val="0"/>
          <w:numId w:val="3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 xml:space="preserve">Do wyliczenia relacji o której mowa w art. 243 ust. 1 ustawy o finansach publicznych w latach 2022-2025 przyjmuje się okres ostatnich siedmiu lat (Zarządzenie Nr Or.0050.1.90.2021 Burmistrza Sępólna </w:t>
      </w:r>
      <w:r>
        <w:rPr>
          <w:rFonts w:ascii="Times New Roman" w:hAnsi="Times New Roman"/>
          <w:color w:val="000000"/>
          <w:sz w:val="20"/>
        </w:rPr>
        <w:t>Krajeńskiego z dnia 15 listopada 2021 roku).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0"/>
        </w:rPr>
        <w:t>Uwzględniono zmiany wynikające z art. 28 ustawy o dodatku węglowym polegające na wyłączeniu poręczeń i gwarancji z indywidualnego wskaźnika spłaty zadłużenia.</w:t>
      </w:r>
    </w:p>
    <w:p>
      <w:pPr>
        <w:tabs>
          <w:tab w:val="left" w:pos="6" w:leader="none"/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ind w:left="6"/>
        <w:jc w:val="both"/>
        <w:rPr>
          <w:rFonts w:ascii="Times New Roman" w:hAnsi="Times New Roman"/>
          <w:b w:val="1"/>
          <w:sz w:val="20"/>
        </w:rPr>
      </w:pPr>
    </w:p>
    <w:p>
      <w:pPr>
        <w:tabs>
          <w:tab w:val="left" w:pos="6" w:leader="none"/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ind w:left="6"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Do załącznika nr 2 wykazu przedsięwzięć do Wieloletniej Prognozy Finansowej 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W wykazie przedsięwzięć uwzględniono następujące projekty, w tym realizowane z udziałem środków Unii Europejskiej: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>1.1 Projekty realizowane w ramach wydatków bieżących: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a) Centrum Usług Społecznych w Gminie Sępólno Krajeńskie. Zadanie realizowane w latach 2024-2027.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b) Kompetencje kluczem do przyszłości edycja III. Zadanie realizowane w latach 2025-2026.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b w:val="1"/>
          <w:i w:val="1"/>
          <w:sz w:val="20"/>
        </w:rPr>
      </w:pPr>
      <w:r>
        <w:rPr>
          <w:rFonts w:ascii="Times New Roman" w:hAnsi="Times New Roman"/>
          <w:sz w:val="20"/>
        </w:rPr>
        <w:t>c) Klub Integracji Społecznej w Sępólnie Krajeńskim. Zadanie realizowane w latach 2025-2027.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1.2 Projekty realizowane w ramach wydatków inwestycyjnych: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a)  Centrum Usług Społecznych w Gminie Sępólno Krajeńskie. Zadanie realizowane w latach 2024-2027.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b) Kompleksowa modernizacja energetyczna wraz z audytem wiejskich szkół podstawowych w Gminie Sępólno Krajeńskie. Dofinansowanie w ramach środków Fundusze Europejskie dla Kujaw i pomorza. Zadanie realizowane w latach 2025-2026.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c) Uzbrojenie terenów inwestycyjnych w gminie Sępólno Krajeńskie. Zadanie realizowane w latach 2026-2027.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b w:val="1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2. Wydatki na programy, projekty lub zadania pozostałe: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  <w:u w:val="single"/>
        </w:rPr>
        <w:t>2.1 Projekty realizowane w ramach wydatków bieżących: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a) Opracowanie miejscowego planu zagospodarowania przestrzennego przy ul. Leśnej, ul. Koronowskiej i pomiędzy ul. Koronowską, a ul. Sienkiewicza oraz w Niechorzu.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b) Program do ewidencji szamb na terenie Gminy Sępólno Krajeńskie. Zadanie realizowane w latach 2023-2026.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c) Opracowanie planu ogólnego dla Gminy Sępolno Krajeńskie. Zadanie zaplanowane do realizacji w latach 2025-2026.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d) Cyberbezpieczny samorząd. Poprawa cyberbezpieczeństwa w Gminie Sępólno Krajeńskie. Zadanie realizowane w latach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d) Umowa dzierżawy - Rozświetlamy Polskę. Umowa zawarta na okres trwałości projektu tj. na lata 2024-2029.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e) Publiczny transport zbiorowy - umowa o świadczenie usług. Zadanie realizowane w latach 2025-2035.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f) Opracowanie miejscowego planu zagospodarowania przestrzennego pomiędzy ul. Kościuszki, a ul. Zakładową w Sępólnie Krajeńskim. Zadanie realizowane w latach 2025-2026.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g) Prowadzenie SPP i MPP w Sępólnie Krajeńskim. Zadanie realizowane w latach 2026-2028.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  <w:u w:val="single"/>
        </w:rPr>
        <w:t>2.2 Pozostałe zadania realizowane w ramach wydatków inwestycyjnych: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a) Cyberbezpieczny samorząd - poprawa cyberbezpieczeństwa w Gminie Sępólno Krajeńskie. Dofinansowanie 100%.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0"/>
        </w:rPr>
        <w:t>b) Budowa obwodnicy miasta Sępólno Krajeńskie – opracowanie Studium Techniczno - Ekonomiczno - Środowiskowego wraz z uzyskaniem decyzji o środowiskowych uwarunkowaniach zgody na realizację przedsięwzięcia oraz opracowanie dokumentacji projektowej wraz z uzyskaniem decyzji ZRID. Projekt partnerski Gmina Sępólno Krajeńskie, Powiat Sępoleński, Województwo Kujawsko-Pomorskie. Zadanie realizowane w latach 2021-2026.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20"/>
        </w:rPr>
        <w:t xml:space="preserve">c) </w:t>
      </w:r>
      <w:r>
        <w:rPr>
          <w:rFonts w:ascii="Times New Roman" w:hAnsi="Times New Roman"/>
          <w:sz w:val="20"/>
          <w:shd w:val="clear" w:color="auto" w:fill="FFFFFF"/>
        </w:rPr>
        <w:t>Budowa ulic: Na Skarpie, łącznik Zielona-Kwiatowa, łącznik Zielona-Letniskowa, Zakątek z Łącznikiem do ul. Orzeszkowa - Środki Rządowego Funduszu Polski Ład. Realizacja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  <w:shd w:val="clear" w:color="auto" w:fill="FFFFFF"/>
        </w:rPr>
        <w:t xml:space="preserve">d) </w:t>
      </w:r>
      <w:r>
        <w:rPr>
          <w:rFonts w:ascii="Times New Roman" w:hAnsi="Times New Roman"/>
          <w:color w:val="000000"/>
          <w:sz w:val="20"/>
        </w:rPr>
        <w:t xml:space="preserve"> Budowa wodociągu Radońsk. Realizacja po otrzymaniu dofinansowania planowana w latach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e) Program "Ciepłe mieszkanie". Zadanie realizowane ze środków WFOŚiGW w latach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f) Opracowanie dokumentacji projektowej na budowę kanalizacji sanitarnej w Lutowie. Zadanie realizowane w latach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g) Budowa sali gimnastycznej w Zbożu. Zadanie planowane do realizacji w latach 2026-2027.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h) Dokumentacja projektowa przebudowy ul. Wysokiej w Sępólnie Krajeńskim. Zadanie realizowane w latach 2025-2026.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i) Budowa drogi w Wałdówku i relacji Komierowo-Mała Klonia. Zadanie realizowane w latach 2024-2026.</w:t>
      </w:r>
    </w:p>
    <w:p>
      <w:pPr>
        <w:pStyle w:val="P1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j) Budowa schodów i platformy w Szkole Podstawowej nr 3 w Sępólnie Krajeńskim. Zadanie realizowane w latach 2025-2026.</w:t>
      </w:r>
    </w:p>
    <w:p>
      <w:pPr>
        <w:pStyle w:val="P1"/>
        <w:rPr>
          <w:rFonts w:ascii="Times New Roman" w:hAnsi="Times New Roman"/>
          <w:color w:val="000000"/>
          <w:sz w:val="20"/>
        </w:rPr>
      </w:pPr>
    </w:p>
    <w:p>
      <w:pPr>
        <w:pStyle w:val="P1"/>
        <w:rPr>
          <w:rFonts w:ascii="Times New Roman" w:hAnsi="Times New Roman"/>
          <w:sz w:val="20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pStyle w:val="P1"/>
              <w:rPr>
                <w:rFonts w:ascii="Times New Roman" w:hAnsi="Times New Roman"/>
                <w:sz w:val="20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pStyle w:val="P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>SIGNATURE_0_1_FUNCTION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Przewodniczący Rady Miejskiej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>
            <w:pPr>
              <w:pStyle w:val="P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>
            <w:pPr>
              <w:pStyle w:val="P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>SIGNATURE_0_1_FIRSTNAME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b w:val="1"/>
                <w:sz w:val="20"/>
              </w:rPr>
              <w:t xml:space="preserve">Artur 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>SIGNATURE_0_1_LASTNAME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b w:val="1"/>
                <w:sz w:val="20"/>
              </w:rPr>
              <w:t>Juhnke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>
      <w:pPr>
        <w:pStyle w:val="P1"/>
        <w:rPr>
          <w:rFonts w:ascii="Times New Roman" w:hAnsi="Times New Roman"/>
          <w:sz w:val="20"/>
        </w:rPr>
      </w:pPr>
    </w:p>
    <w:sectPr>
      <w:type w:val="nextPage"/>
      <w:pgSz w:w="11909" w:h="16834" w:code="0"/>
      <w:pgMar w:left="1000" w:right="1000" w:top="1000" w:bottom="1000" w:header="720" w:footer="720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decimal"/>
      <w:suff w:val="tab"/>
      <w:lvlText w:val="%1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suff w:val="tab"/>
      <w:lvlText w:val="%2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suff w:val="tab"/>
      <w:lvlText w:val="%3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suff w:val="tab"/>
      <w:lvlText w:val="%4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suff w:val="tab"/>
      <w:lvlText w:val="%5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suff w:val="tab"/>
      <w:lvlText w:val="%6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suff w:val="tab"/>
      <w:lvlText w:val="%7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suff w:val="tab"/>
      <w:lvlText w:val="%8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suff w:val="tab"/>
      <w:lvlText w:val="%9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</w:num>
  <w:num w:numId="3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</w:num>
</w:numbering>
</file>

<file path=word/settings.xml><?xml version="1.0" encoding="utf-8"?>
<w:settings xmlns:w="http://schemas.openxmlformats.org/wordprocessingml/2006/main">
  <w:displayBackgroundShape w:val="0"/>
  <w:defaultTabStop w:val="1134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widowControl w:val="1"/>
      <w:spacing w:lineRule="auto" w:line="259" w:after="160" w:beforeAutospacing="0" w:afterAutospacing="0"/>
    </w:pPr>
    <w:rPr>
      <w:rFonts w:ascii="Calibri" w:hAnsi="Calibri"/>
      <w:sz w:val="22"/>
    </w:rPr>
  </w:style>
  <w:style w:type="paragraph" w:styleId="P1">
    <w:name w:val="[Normal]"/>
    <w:pPr>
      <w:widowControl w:val="0"/>
    </w:pPr>
    <w:rPr>
      <w:rFonts w:ascii="Arial" w:hAnsi="Arial"/>
      <w:sz w:val="24"/>
    </w:rPr>
  </w:style>
  <w:style w:type="character" w:styleId="C0" w:default="1">
    <w:name w:val="Default Paragraph Font"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2025-12-17T10:29:10Z</dcterms:created>
  <cp:lastModifiedBy>HOST-13\Frosina</cp:lastModifiedBy>
  <dcterms:modified xsi:type="dcterms:W3CDTF">2025-12-17T11:50:43Z</dcterms:modified>
  <cp:revision>3</cp:revision>
</cp:coreProperties>
</file>