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067500" Type="http://schemas.openxmlformats.org/officeDocument/2006/relationships/officeDocument" Target="/word/document.xml" /><Relationship Id="coreR5A06750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Wieloletnią Prognozę Finansową Gminy Sępólno Krajeńskie tworzy się na podstawie art. 226-230 ustawy z dnia 27 sierpnia 2009r. o finansach publicznych oraz w oparciu o przyjęte przedsięwzięcia określone w załączniku nr 2 i objaśnienia.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2025-12-17T11:37:59Z</dcterms:created>
  <cp:lastModifiedBy>HOST-13\Frosina</cp:lastModifiedBy>
  <dcterms:modified xsi:type="dcterms:W3CDTF">2025-12-17T11:50:43Z</dcterms:modified>
  <cp:revision>5</cp:revision>
  <dc:subject>w sprawie Wieloletniej Prognozy Finansowej Gminy Sępólno Krajeńskie</dc:subject>
  <dc:title>Uchwała nr  XXII/172/2025 z dnia 15 grudnia 2025 r.</dc:title>
</cp:coreProperties>
</file>