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553F4F6" Type="http://schemas.openxmlformats.org/officeDocument/2006/relationships/officeDocument" Target="/word/document.xml" /><Relationship Id="coreR4553F4F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OBJAŚNIENIA</w:t>
      </w:r>
    </w:p>
    <w:p>
      <w:pPr>
        <w:tabs>
          <w:tab w:val="left" w:pos="108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 w:beforeAutospacing="0" w:afterAutospacing="0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Do załącznika nr 1 Wieloletniej Prognozy Finansowej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Wieloletnia Prognoza Finansowa zawiera obligatoryjne elementy określone w art. 226 ust. 1 i 2 ustawy o finansach publicznych.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Wzrost dochodów i wydatków w latach </w:t>
      </w:r>
      <w:r>
        <w:rPr>
          <w:rFonts w:ascii="Times New Roman" w:hAnsi="Times New Roman"/>
          <w:color w:val="000000"/>
          <w:sz w:val="20"/>
        </w:rPr>
        <w:t>2025 - 2035</w:t>
      </w:r>
      <w:r>
        <w:rPr>
          <w:rFonts w:ascii="Times New Roman" w:hAnsi="Times New Roman"/>
          <w:sz w:val="20"/>
        </w:rPr>
        <w:t xml:space="preserve"> przyjęto głównie na pozi</w:t>
      </w:r>
      <w:r>
        <w:rPr>
          <w:rFonts w:ascii="Times New Roman" w:hAnsi="Times New Roman"/>
          <w:color w:val="000000"/>
          <w:sz w:val="20"/>
        </w:rPr>
        <w:t>omie 5% na p</w:t>
      </w:r>
      <w:r>
        <w:rPr>
          <w:rFonts w:ascii="Times New Roman" w:hAnsi="Times New Roman"/>
          <w:sz w:val="20"/>
        </w:rPr>
        <w:t>odstawie danych Ministerstwa Finansów oraz analizy własnej budżetów z lat poprzednich.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Spłaty zobowiązań ustalono na podstawie zawartych umów, odsetki od nich oszacowano na podstawie analizy własnej. 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wydatkach bieżących na obsługę długu w latach </w:t>
      </w:r>
      <w:r>
        <w:rPr>
          <w:rFonts w:ascii="Times New Roman" w:hAnsi="Times New Roman"/>
          <w:color w:val="000000"/>
          <w:sz w:val="20"/>
        </w:rPr>
        <w:t xml:space="preserve">objętych prognozą </w:t>
      </w:r>
      <w:r>
        <w:rPr>
          <w:rFonts w:ascii="Times New Roman" w:hAnsi="Times New Roman"/>
          <w:sz w:val="20"/>
        </w:rPr>
        <w:t xml:space="preserve">ujęto tylko odsetki od zaciągniętych pożyczek i kredytów. 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</w:rPr>
        <w:t>Przeznacz</w:t>
      </w:r>
      <w:r>
        <w:rPr>
          <w:rFonts w:ascii="Times New Roman" w:hAnsi="Times New Roman"/>
          <w:color w:val="000000"/>
          <w:sz w:val="20"/>
        </w:rPr>
        <w:t>a się nadwyżkę budżetową na spłaty zobowiązań w latach kolejnych.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Planowane dochody ze sprzedaży majątku obejmują  w roku 2025 - sprzedaż działek i lokali.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Prognozę kwoty długu sporządzono w oparciu o zawarte umowy pożyczkowe i kredytowe oraz przewidywane do zaciągnięcia zobowiązania finansowe. 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Planowane dochody majątkowe w 2025 roku dotyczą dofinansowania zadań w ramach RFPŁ, RFRD, KPO oraz PROW na lata 2014-2020, realizowanych w oparciu o podpisane umowy o dofinansowanie i promesy.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Planowane wydatki inwestycyjne w 2025 roku stanowią ponad 23% wydatków ogółem. Prognoza wydatków inwestycyjnych na kolejne lata została sporządzona z uwzględnieniem wskaźnika wzrostu dochodów i wydatków.</w:t>
      </w:r>
    </w:p>
    <w:p>
      <w:pPr>
        <w:numPr>
          <w:ilvl w:val="0"/>
          <w:numId w:val="3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</w:rPr>
        <w:t xml:space="preserve">Do wyliczenia relacji o której mowa w art. 243 ust. 1 ustawy o finansach publicznych w latach 2022-2025 przyjmuje się okres ostatnich siedmiu lat (Zarządzenie Nr Or.0050.1.90.2021 Burmistrza Sępólna </w:t>
      </w:r>
      <w:r>
        <w:rPr>
          <w:rFonts w:ascii="Times New Roman" w:hAnsi="Times New Roman"/>
          <w:color w:val="000000"/>
          <w:sz w:val="20"/>
        </w:rPr>
        <w:t>Krajeńskiego z dnia 15 listopada 2021 roku).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Uwzględniono zmiany wynikające z art. 28 ustawy o dodatku węglowym polegające na wyłączeniu poręczeń i gwarancji z indywidualnego wskaźnika spłaty zadłużenia.</w:t>
      </w:r>
    </w:p>
    <w:p>
      <w:pPr>
        <w:numPr>
          <w:ilvl w:val="0"/>
          <w:numId w:val="3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Planowany w 2024 roku kredyt w wysokości 1 335 854,85zł (pokazany w załączniku nr 1 prognozy, kolumna 3 kwartał 2024 roku) nie zostanie zaciągnięty, stąd w prognozie wykonania na 2024 (kolumna wykonanie 2024, poz. 6) wykazano kwotę długu wynikającą z faktycznie zaciągniętych  zobowiązań. </w:t>
      </w:r>
    </w:p>
    <w:p>
      <w:pPr>
        <w:tabs>
          <w:tab w:val="left" w:pos="6" w:leader="none"/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ind w:left="6"/>
        <w:jc w:val="both"/>
        <w:rPr>
          <w:rFonts w:ascii="Times New Roman" w:hAnsi="Times New Roman"/>
          <w:b w:val="1"/>
          <w:sz w:val="20"/>
        </w:rPr>
      </w:pPr>
    </w:p>
    <w:p>
      <w:pPr>
        <w:tabs>
          <w:tab w:val="left" w:pos="6" w:leader="none"/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ind w:left="6"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Do załącznika nr 2 wykazu przedsięwzięć do Wieloletniej Prognozy Finansowej 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W wykazie przedsięwzięć uwzględniono następujące projekty, w tym realizowane z udziałem środków Unii Europejskiej: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>1.1 Projekty realizowane w ramach wydatków bieżących: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a) Centrum Usług Społecznych w Gminie Sępólno Krajeńskie. Zadanie realizowane w latach 2024-2027.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b w:val="1"/>
          <w:i w:val="1"/>
          <w:sz w:val="20"/>
        </w:rPr>
      </w:pPr>
      <w:r>
        <w:rPr>
          <w:rFonts w:ascii="Times New Roman" w:hAnsi="Times New Roman"/>
          <w:sz w:val="20"/>
        </w:rPr>
        <w:t>b) Kompetencje kluczem do przyszłości edycja III. Zadanie realizowane w latach 2025-2026.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1.2 Projekty realizowane w ramach wydatków inwestycyjnych: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a)  </w:t>
      </w:r>
      <w:r>
        <w:rPr>
          <w:rFonts w:ascii="Times New Roman" w:hAnsi="Times New Roman"/>
          <w:sz w:val="20"/>
        </w:rPr>
        <w:t>Budowa drogi gminnej w miejscowości Świdwie. Dofinansowanie w ramach PROW. Realizacja 2024-2025.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b) Budowa kanalizacji sanitarnej w Lutowie. Dofinansowanie w ramach PROW. Realizacja 2024-2025.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</w:rPr>
        <w:t>c) Centrum Usług Społecznych w Gminie Sępólno Krajeńskie. Zadanie realizowane w latach 2024-2027.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d) Budowa zbiornika retencyjnego we Włościborzu. Zadanie realizowane w ramach PROW. Dofinansowanie 100%. Zadanie realizowane w 2025.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e) Kompleksowa modernizacja energetyczna wraz z audytem wiejskich szkół podstawowych w Gminie Sępólno Krajeńskie. Dofinansowanie w ramach środków Fundusze Europejskie dla Kujaw i pomorza. Zadanie realizowane w latach 2025-2026.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b w:val="1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>2. Wydatki na programy, projekty lub zadania pozostałe: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  <w:u w:val="single"/>
        </w:rPr>
        <w:t>2.1 Projekty realizowane w ramach wydatków bieżących: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a) Opracowanie miejscowego planu zagospodarowania przestrzennego przy ul. Leśnej, ul. Koronowskiej i pomiędzy ul. Koronowską, a ul. Sienkiewicza oraz w Niechorzu.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b) Program do ewidencji szamb na terenie Gminy Sępólno Krajeńskie. Zadanie realizowane w latach 2023-2026.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c) Cyberbezpieczny samorząd. Poprawa cyberbezpieczeństwa w Gminie Sępólno Krajeńskie. Zadanie realizowane w latach 2024-2026.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d) Opracowanie planu zagospodarowania przestrzennego ul. Bajkowa w Sępólnie Krajeńskim.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e) Opracowanie planu  zagospodarowania przestrzennego os. Leśne w Sępólnie Krajeńskim.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f) Umowa dzierżawy - Rozświetlamy Polskę. Umowa zawarta na okres trwałości projektu tj. na lata 2024-2029.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g) Publiczny transport zbiorowy - umowa o swiadczenie usług. Zadanie realizowane w latach 2025-2035.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</w:rPr>
        <w:t>h) Opracowanie miejscowego planu zagospodarowania przestrzennego pomiędzy ul. Kościuszki, a ul. Zakładową w Sępólnie Krajeńskim. Zadanie realizowane w latach 2025-2026.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  <w:u w:val="single"/>
        </w:rPr>
        <w:t>2.2 Pozostałe zadania realizowane w ramach wydatków inwestycyjnych: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a) Rozbudowa Szkoły Podstawowej w Wiśniewie. Zadanie realizowane w latach 2022-2025.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b) Budowa obwodnicy miasta Sępólno Krajeńskie – opracowanie Studium Techniczno - Ekonomiczno - Środowiskowego wraz z uzyskaniem decyzji o środowiskowych uwarunkowaniach zgody na realizację przedsięwzięcia oraz opracowanie dokumentacji projektowej wraz z uzyskaniem decyzji ZRID. Projekt partnerski Gmina Sępólno Krajeńskie, Powiat Sępoleński, Województwo Kujawsko-Pomorskie. Zadanie realizowane w latach 2021-2026.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c) Budowa budynku Centrum Opiekuńczo-Mieszkalnego przy ulicy Młyńskiej w Sępólnie Krajeńskim. Zadanie planowane do realizacji na lata 2023-2025. Zadanie dofinansowane ze środków Funduszu Solidarnościowego.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</w:rPr>
        <w:t>d) Rozbudowa Żłobka w ramach KPO. Zwiększenie dostępności miejsc dla dzieci. Zadanie realizowane w latach 2023-2025.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0"/>
          <w:shd w:val="clear" w:color="auto" w:fill="FFFFFF"/>
        </w:rPr>
      </w:pPr>
      <w:r>
        <w:rPr>
          <w:rFonts w:ascii="Times New Roman" w:hAnsi="Times New Roman"/>
          <w:sz w:val="20"/>
        </w:rPr>
        <w:t>e) Budowa drogi w miejscowości Wałdówko oraz relacji Komierowo – Mała Klonia. Inwestycja dofinansowana z Rządowego Funduszu Polski Ład: Programu Inwestycji Strategicznych – PGR. Realizacja 2023-2025.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  <w:shd w:val="clear" w:color="auto" w:fill="FFFFFF"/>
        </w:rPr>
      </w:pPr>
      <w:r>
        <w:rPr>
          <w:rFonts w:ascii="Times New Roman" w:hAnsi="Times New Roman"/>
          <w:sz w:val="20"/>
        </w:rPr>
        <w:t xml:space="preserve">f) Remont muru kamienno-ceglanego - ogrodzenia cmentarza przy kościele w Wałdowie wpisanym do rej. zabytków woj. kujawsko-pomorskiego dec. nr A/816 z 11.10.1993 r. Dofinansowanie z </w:t>
      </w:r>
      <w:r>
        <w:rPr>
          <w:rFonts w:ascii="Times New Roman" w:hAnsi="Times New Roman"/>
          <w:sz w:val="20"/>
          <w:shd w:val="clear" w:color="auto" w:fill="FFFFFF"/>
        </w:rPr>
        <w:t xml:space="preserve">Rządowego Programu Odbudowy Zabytków – Polski Ład. </w:t>
      </w:r>
      <w:r>
        <w:rPr>
          <w:rFonts w:ascii="Times New Roman" w:hAnsi="Times New Roman"/>
          <w:sz w:val="20"/>
        </w:rPr>
        <w:t>Realizacja 2023-2025. Dotacja dla Parafii.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g) Remont dachu kościoła filialnego pw. św. Józefa i św. Kazimierza we Włościborzu. Dofinansowanie z </w:t>
      </w:r>
      <w:r>
        <w:rPr>
          <w:rFonts w:ascii="Times New Roman" w:hAnsi="Times New Roman"/>
          <w:sz w:val="20"/>
          <w:shd w:val="clear" w:color="auto" w:fill="FFFFFF"/>
        </w:rPr>
        <w:t xml:space="preserve">Rządowego Programu Odbudowy Zabytków – Polski Ład. </w:t>
      </w:r>
      <w:r>
        <w:rPr>
          <w:rFonts w:ascii="Times New Roman" w:hAnsi="Times New Roman"/>
          <w:sz w:val="20"/>
        </w:rPr>
        <w:t>Realizacja 2023-2025. Dotacja dla Parafii.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20"/>
        </w:rPr>
        <w:t xml:space="preserve">h) </w:t>
      </w:r>
      <w:r>
        <w:rPr>
          <w:rFonts w:ascii="Times New Roman" w:hAnsi="Times New Roman"/>
          <w:sz w:val="20"/>
          <w:shd w:val="clear" w:color="auto" w:fill="FFFFFF"/>
        </w:rPr>
        <w:t>Budowa ulic: Na Skarpie, łącznik Zielona-Kwiatowa, łącznik Zielona-Letniskowa, Zakątek z Łącznikiem do ul. Orzeszkowa - Środki Rządowego Funduszu Polski Ład. Realizacja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hd w:val="clear" w:color="auto" w:fill="FFFFFF"/>
        </w:rPr>
        <w:t xml:space="preserve">i) </w:t>
      </w:r>
      <w:r>
        <w:rPr>
          <w:rFonts w:ascii="Times New Roman" w:hAnsi="Times New Roman"/>
          <w:sz w:val="20"/>
        </w:rPr>
        <w:t>Przebudowa drogi w Piasecznie - Środki Rządowego Funduszu Rozwoju Dróg. Realizacja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</w:rPr>
        <w:t>j) Budowa wodociągu Radońsk. Realizacja po otrzymaniu dofinansowania planowana w latach 2024-2026.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k) "Rozświetlamy Polskę" - wymiana nieenergooszczędnych opraw na terenie Gminy Sępólno Krajeńskie. Dofinansowanie w ramach programu Polski Ład.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l) Cyberbezpieczny samorząd - poprawa cyberbezpieczeństwa w Gminie Sępólno Krajeńskie. Dofinansowanie 100%.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m) Program "Ciepłe mieszkanie". Zadanie realizowane ze środków WFOŚiGW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n) Badania konserwatorskie, wykonanie programu prac, konserwacja i restauracja ołtarza głównego, obrazu, remont prezbiterium Kościoła w Sępólnie Krajeńskim. Dofinansowanie z Rządowego Programu Odbudowy Zabytków - Polski Ład. Realizacja w latach 2024-2025. Dotacja dla Parafii.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o) Uzbrojenie terenów inwestycyjnych - dokumentacja projektowa.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p) Dokumentacja projektowa dróg gminnych.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r) Opracowanie dokumentacji projektowej na budowe kanalizacji sanitarnej w Lutowie i Siedlisku.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s) Modernizacja ul. Ogrodowej. Zadanie realizowane w latach 2024-2025. Poprawa jakości dróg.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t) Zagospodarowanie lasku komunalnego wraz ze studium wykonalności.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u) Budowa sali gimnastycznej w Zbożu. Zadanie planowane do realizacji w latach 2026-2027.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w) Dokumentacja projektowa przebudowy ul. Wysokiej w Sępólnie Krajeńskim. Zadanie realizowane w latach 2025-2026.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x) Budowa schodów i platformy w Szkole Podstawowej nr 3 w Sępólnie Krajeńskim. Zadanie realizowane w latach 2025-2026.</w:t>
      </w: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>SIGNATURE_0_1_FUNCTION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</w:rPr>
              <w:t>Przewodniczący Rady Miejskiej</w: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>SIGNATURE_0_1_FIRSTNAME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Artur </w: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>SIGNATURE_0_1_LASTNAME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Juhnke</w: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</w:tr>
    </w:tbl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auto" w:line="240" w:after="0" w:beforeAutospacing="0" w:afterAutospacing="0"/>
        <w:rPr>
          <w:rFonts w:ascii="Times New Roman" w:hAnsi="Times New Roman"/>
          <w:color w:val="000000"/>
          <w:sz w:val="20"/>
        </w:rPr>
      </w:pPr>
    </w:p>
    <w:p>
      <w:pPr>
        <w:widowControl w:val="0"/>
        <w:spacing w:lineRule="auto" w:line="240" w:after="0" w:beforeAutospacing="0" w:afterAutospacing="0"/>
        <w:rPr>
          <w:rFonts w:ascii="Times New Roman" w:hAnsi="Times New Roman"/>
          <w:color w:val="000000"/>
          <w:sz w:val="20"/>
        </w:rPr>
      </w:pPr>
    </w:p>
    <w:p>
      <w:pPr>
        <w:pStyle w:val="P1"/>
        <w:rPr>
          <w:rFonts w:ascii="Times New Roman" w:hAnsi="Times New Roman"/>
          <w:color w:val="000000"/>
          <w:sz w:val="20"/>
        </w:rPr>
      </w:pPr>
    </w:p>
    <w:sectPr>
      <w:type w:val="nextPage"/>
      <w:pgSz w:w="11906" w:h="16838" w:code="0"/>
      <w:pgMar w:left="1000" w:right="1000" w:top="1000" w:bottom="1000" w:header="720" w:footer="720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decimal"/>
      <w:suff w:val="tab"/>
      <w:lvlText w:val="%1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suff w:val="tab"/>
      <w:lvlText w:val="%2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suff w:val="tab"/>
      <w:lvlText w:val="%3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suff w:val="tab"/>
      <w:lvlText w:val="%4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suff w:val="tab"/>
      <w:lvlText w:val="%5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suff w:val="tab"/>
      <w:lvlText w:val="%6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suff w:val="tab"/>
      <w:lvlText w:val="%7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suff w:val="tab"/>
      <w:lvlText w:val="%8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suff w:val="tab"/>
      <w:lvlText w:val="%9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</w:num>
  <w:num w:numId="3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</w:num>
</w:numbering>
</file>

<file path=word/settings.xml><?xml version="1.0" encoding="utf-8"?>
<w:settings xmlns:w="http://schemas.openxmlformats.org/wordprocessingml/2006/main">
  <w:displayBackgroundShape w:val="0"/>
  <w:defaultTabStop w:val="1134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widowControl w:val="1"/>
      <w:spacing w:lineRule="auto" w:line="259" w:after="160" w:beforeAutospacing="0" w:afterAutospacing="0"/>
    </w:pPr>
    <w:rPr>
      <w:rFonts w:ascii="Calibri" w:hAnsi="Calibri"/>
      <w:sz w:val="22"/>
    </w:rPr>
  </w:style>
  <w:style w:type="paragraph" w:styleId="P1">
    <w:name w:val="[Normal]"/>
    <w:pPr>
      <w:widowControl w:val="0"/>
    </w:pPr>
    <w:rPr>
      <w:rFonts w:ascii="Arial" w:hAnsi="Arial"/>
      <w:sz w:val="24"/>
    </w:rPr>
  </w:style>
  <w:style w:type="character" w:styleId="C0" w:default="1">
    <w:name w:val="Default Paragraph Font"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2025-11-27T07:06:32Z</dcterms:created>
  <cp:lastModifiedBy>HOST-13\Frosina</cp:lastModifiedBy>
  <dcterms:modified xsi:type="dcterms:W3CDTF">2025-11-27T09:03:51Z</dcterms:modified>
  <cp:revision>9</cp:revision>
</cp:coreProperties>
</file>