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1EE592" Type="http://schemas.openxmlformats.org/officeDocument/2006/relationships/officeDocument" Target="/word/document.xml" /><Relationship Id="coreR4D1EE5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Wieloletniej Prognozy Finansowej związana jest z aktualizacją zadań do wysokości wykonania w danym roku i terminu realizacji tj. kompleksowa modernizacja szkół, Program „Ciepłe mieszkanie”, budowa ulic: Na Skarpie, Zakątek, budowa drogi w Wałdówku i relacji Komierowo- Mała Klonia, Cyberbezpieczny samorząd, dokumentacje projektowe i plany ogólne oraz wprowadzeniem nowych zadań: Budowa schodów i platformy przy Szkole Podstawowej Nr 3 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Aktualizuje się dochody i wydatki do wysokości określonych w uchwale budżetowej.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A. B.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2025-11-27T08:30:41Z</dcterms:created>
  <cp:lastModifiedBy>HOST-13\Frosina</cp:lastModifiedBy>
  <dcterms:modified xsi:type="dcterms:W3CDTF">2025-11-27T09:03:51Z</dcterms:modified>
  <cp:revision>8</cp:revision>
  <dc:subject>zmieniająca uchwałę w sprawie Wieloletniej Prognozy Finansowej Gminy Sępólno Krajeńskie</dc:subject>
  <dc:title>Uchwała nr  XXI/163/2025 z dnia 26 listopada 2025 r.</dc:title>
</cp:coreProperties>
</file>