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C8301D8" Type="http://schemas.openxmlformats.org/officeDocument/2006/relationships/officeDocument" Target="/word/document.xml" /><Relationship Id="coreR7C8301D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Pr>
        <w:jc w:val="center"/>
        <w:rPr>
          <w:rFonts w:ascii="Times New Roman" w:hAnsi="Times New Roman"/>
          <w:b w:val="1"/>
          <w:sz w:val="24"/>
        </w:rPr>
      </w:pPr>
      <w:r>
        <w:rPr>
          <w:rFonts w:ascii="Times New Roman" w:hAnsi="Times New Roman"/>
          <w:b w:val="1"/>
          <w:sz w:val="24"/>
        </w:rPr>
        <w:t>Uzasadnienie</w:t>
      </w:r>
    </w:p>
    <w:p>
      <w:pPr>
        <w:jc w:val="center"/>
        <w:rPr>
          <w:rFonts w:ascii="Times New Roman" w:hAnsi="Times New Roman"/>
          <w:sz w:val="24"/>
        </w:rPr>
      </w:pPr>
    </w:p>
    <w:p>
      <w:pPr>
        <w:ind w:firstLine="708"/>
        <w:jc w:val="both"/>
        <w:rPr>
          <w:rFonts w:ascii="Times New Roman" w:hAnsi="Times New Roman"/>
          <w:sz w:val="24"/>
        </w:rPr>
      </w:pPr>
      <w:r>
        <w:rPr>
          <w:rFonts w:ascii="Times New Roman" w:hAnsi="Times New Roman"/>
          <w:sz w:val="24"/>
        </w:rPr>
        <w:t>Na podstawie art. 6k ustawy z dnia 13 września 1996 r. o utrzymaniu czystości i porządku w gminach (t.j. Dz. U. z 2025 r. poz. 1153) Rada Miejska w Sępólnie Krajeńskim jest zobowiązana do podjęcia uchwały w sprawie wyboru metody ustalenia opłaty za gospodarowanie odpadami komunalnymi oraz ustalenia stawki opłaty.</w:t>
      </w:r>
    </w:p>
    <w:p>
      <w:pPr>
        <w:ind w:firstLine="708"/>
        <w:jc w:val="both"/>
        <w:rPr>
          <w:rFonts w:ascii="Times New Roman" w:hAnsi="Times New Roman"/>
          <w:sz w:val="24"/>
        </w:rPr>
      </w:pPr>
      <w:r>
        <w:rPr>
          <w:rFonts w:ascii="Times New Roman" w:hAnsi="Times New Roman"/>
          <w:sz w:val="24"/>
        </w:rPr>
        <w:t xml:space="preserve">Ze względu na wzrost kosztów związanych z odbiorem i zagospodarowaniem odpadów komunalnych pochodzących  z nieruchomości zamieszkałych z terenu gminy Sępólno Krajeńskie, zaistniała konieczność podwyższenia stawek opłaty za gospodarowanie odpadami komunalnymi. Ustalona niniejszą uchwałą stawka opłaty za gospodarowanie odpadami komunalnymi oraz stawka opłaty podwyższonej, nie przekraczają maksymalnych stawek opłat, określonych w art. 6k, ust. 2a pkt 1, ust. 3 ustawy o utrzymaniu czystości i porządku w gminach.</w:t>
      </w:r>
    </w:p>
    <w:p>
      <w:pPr>
        <w:ind w:firstLine="708"/>
        <w:jc w:val="both"/>
        <w:rPr>
          <w:rFonts w:ascii="Times New Roman" w:hAnsi="Times New Roman"/>
          <w:sz w:val="24"/>
        </w:rPr>
      </w:pPr>
      <w:r>
        <w:rPr>
          <w:rFonts w:ascii="Times New Roman" w:hAnsi="Times New Roman"/>
          <w:sz w:val="24"/>
        </w:rPr>
        <w:t>Po dokonaniu kalkulacji kosztów związanych z funkcjonowaniem systemu gospodarki odpadami ustalono, że opłaty pobrane od właścicieli nieruchomości zamieszkałych nie są wystarczające na pokrycie wydatków z nim związanych i planowanych w 2026 roku. Podwyższenie opłaty za gospodarowanie odpadami komunalnymi od jednego mieszkańca do wysokości 40,00 zł, pozwoli na pokrycie części kosztów systemu gospodarowania odpadami komunalnymi na terenie gminy Sępólno Krajeńskie. Przedstawiona w niniejszej uchwale stawka nie pozwoli jednak na samobilansowanie się systemu.</w:t>
      </w:r>
    </w:p>
    <w:p>
      <w:pPr>
        <w:ind w:firstLine="708"/>
        <w:jc w:val="both"/>
        <w:rPr>
          <w:rFonts w:ascii="Times New Roman" w:hAnsi="Times New Roman"/>
          <w:sz w:val="24"/>
        </w:rPr>
      </w:pPr>
      <w:r>
        <w:rPr>
          <w:rFonts w:ascii="Times New Roman" w:hAnsi="Times New Roman"/>
          <w:sz w:val="24"/>
        </w:rPr>
        <w:t xml:space="preserve">Projekt uchwały został przedstawiony na wspólnym posiedzeniu wszystkich stałych Komisji Rady Miejskiej w Sępólnie Krajeńskim i został zaopiniowany pozytywnie. </w:t>
      </w:r>
    </w:p>
    <w:p>
      <w:pPr>
        <w:keepNext w:val="1"/>
        <w:spacing w:before="0" w:after="0" w:beforeAutospacing="0" w:afterAutospacing="0"/>
        <w:rPr>
          <w:rFonts w:ascii="Times New Roman" w:hAnsi="Times New Roman"/>
          <w:b w:val="0"/>
          <w:i w:val="0"/>
          <w:caps w:val="0"/>
          <w:sz w:val="22"/>
          <w:u w:val="none"/>
          <w:vertAlign w:val="baseline"/>
        </w:rPr>
      </w:pPr>
      <w:r>
        <w:rPr>
          <w:rFonts w:ascii="Times New Roman" w:hAnsi="Times New Roman"/>
          <w:b w:val="0"/>
          <w:caps w:val="0"/>
          <w:sz w:val="22"/>
        </w:rPr>
        <w:t>  </w:t>
      </w:r>
    </w:p>
    <w:tbl>
      <w:tblPr>
        <w:tblLayout w:type="fixed"/>
        <w:tblCellMar>
          <w:top w:w="0" w:type="dxa"/>
          <w:left w:w="0" w:type="dxa"/>
          <w:bottom w:w="0" w:type="dxa"/>
          <w:right w:w="0" w:type="dxa"/>
        </w:tblCellMar>
      </w:tblPr>
      <w:tblGrid/>
      <w:tr>
        <w:tblPrEx>
          <w:tblW w:w="5000" w:type="pct"/>
          <w:tblCellMar>
            <w:top w:w="0" w:type="dxa"/>
            <w:left w:w="0" w:type="dxa"/>
            <w:bottom w:w="0" w:type="dxa"/>
            <w:right w:w="0" w:type="dxa"/>
          </w:tblCellMar>
        </w:tblPrEx>
        <w:tc>
          <w:tcPr>
            <w:tcW w:w="4935" w:type="dxa"/>
            <w:noWrap w:val="0"/>
            <w:tcMar>
              <w:top w:w="0" w:type="dxa"/>
              <w:left w:w="0" w:type="dxa"/>
              <w:bottom w:w="0" w:type="dxa"/>
              <w:right w:w="0" w:type="dxa"/>
            </w:tcMar>
            <w:vAlign w:val="top"/>
            <w:hideMark/>
          </w:tcPr>
          <w:p>
            <w:pPr>
              <w:jc w:val="left"/>
              <w:rPr>
                <w:rFonts w:ascii="Times New Roman" w:hAnsi="Times New Roman"/>
                <w:b w:val="0"/>
                <w:i w:val="0"/>
                <w:color w:val="000000"/>
                <w:sz w:val="22"/>
              </w:rPr>
            </w:pPr>
          </w:p>
        </w:tc>
        <w:tc>
          <w:tcPr>
            <w:tcW w:w="4935" w:type="dxa"/>
            <w:noWrap w:val="0"/>
            <w:tcMar>
              <w:top w:w="0" w:type="dxa"/>
              <w:left w:w="0" w:type="dxa"/>
              <w:bottom w:w="0" w:type="dxa"/>
              <w:right w:w="0" w:type="dxa"/>
            </w:tcMar>
            <w:vAlign w:val="top"/>
            <w:hideMark/>
          </w:tcPr>
          <w:p>
            <w:pPr>
              <w:keepNext w:val="1"/>
              <w:keepLines w:val="1"/>
              <w:spacing w:before="560" w:after="560" w:beforeAutospacing="0" w:afterAutospacing="0"/>
              <w:ind w:firstLine="0" w:left="1134" w:right="1134"/>
              <w:jc w:val="center"/>
              <w:rPr>
                <w:rFonts w:ascii="Times New Roman" w:hAnsi="Times New Roman"/>
                <w:b w:val="0"/>
                <w:i w:val="0"/>
                <w:color w:val="000000"/>
                <w:sz w:val="22"/>
              </w:rPr>
            </w:pPr>
            <w:r>
              <w:rPr>
                <w:rFonts w:ascii="Times New Roman" w:hAnsi="Times New Roman"/>
                <w:b w:val="0"/>
                <w:i w:val="0"/>
                <w:color w:val="000000"/>
                <w:sz w:val="22"/>
              </w:rPr>
              <w:fldChar w:fldCharType="begin"/>
            </w:r>
            <w:r>
              <w:rPr>
                <w:rFonts w:ascii="Times New Roman" w:hAnsi="Times New Roman"/>
                <w:b w:val="0"/>
                <w:i w:val="0"/>
                <w:color w:val="000000"/>
                <w:sz w:val="22"/>
              </w:rPr>
              <w:instrText>SIGNATURE_0_1_FUNCTION</w:instrText>
            </w:r>
            <w:r>
              <w:rPr>
                <w:rFonts w:ascii="Times New Roman" w:hAnsi="Times New Roman"/>
                <w:b w:val="0"/>
                <w:i w:val="0"/>
                <w:color w:val="000000"/>
                <w:sz w:val="22"/>
              </w:rPr>
              <w:fldChar w:fldCharType="separate"/>
            </w:r>
            <w:r>
              <w:rPr>
                <w:rFonts w:ascii="Times New Roman" w:hAnsi="Times New Roman"/>
                <w:b w:val="0"/>
                <w:i w:val="0"/>
                <w:color w:val="000000"/>
                <w:sz w:val="22"/>
              </w:rPr>
              <w:t>Przewodniczący Rady Miejskiej</w:t>
            </w:r>
            <w:r>
              <w:rPr>
                <w:rFonts w:ascii="Times New Roman" w:hAnsi="Times New Roman"/>
                <w:b w:val="0"/>
                <w:i w:val="0"/>
                <w:color w:val="000000"/>
                <w:sz w:val="22"/>
              </w:rPr>
              <w:fldChar w:fldCharType="end"/>
            </w:r>
          </w:p>
          <w:p>
            <w:pPr>
              <w:keepNext w:val="1"/>
              <w:keepLines w:val="1"/>
              <w:spacing w:before="560" w:after="560" w:beforeAutospacing="0" w:afterAutospacing="0"/>
              <w:ind w:firstLine="0" w:left="1134" w:right="1134"/>
              <w:jc w:val="center"/>
              <w:rPr>
                <w:rFonts w:ascii="Times New Roman" w:hAnsi="Times New Roman"/>
                <w:b w:val="1"/>
                <w:i w:val="0"/>
                <w:color w:val="000000"/>
                <w:sz w:val="22"/>
              </w:rPr>
            </w:pPr>
            <w:r>
              <w:rPr>
                <w:rFonts w:ascii="Times New Roman" w:hAnsi="Times New Roman"/>
                <w:b w:val="0"/>
                <w:i w:val="0"/>
                <w:color w:val="000000"/>
                <w:sz w:val="22"/>
              </w:rPr>
              <w:fldChar w:fldCharType="begin"/>
            </w:r>
            <w:r>
              <w:rPr>
                <w:rFonts w:ascii="Times New Roman" w:hAnsi="Times New Roman"/>
                <w:b w:val="0"/>
                <w:i w:val="0"/>
                <w:color w:val="000000"/>
                <w:sz w:val="22"/>
              </w:rPr>
              <w:instrText>SIGNATURE_0_1_FIRSTNAME</w:instrText>
            </w:r>
            <w:r>
              <w:rPr>
                <w:rFonts w:ascii="Times New Roman" w:hAnsi="Times New Roman"/>
                <w:b w:val="0"/>
                <w:i w:val="0"/>
                <w:color w:val="000000"/>
                <w:sz w:val="22"/>
              </w:rPr>
              <w:fldChar w:fldCharType="separate"/>
            </w:r>
            <w:r>
              <w:rPr>
                <w:rFonts w:ascii="Times New Roman" w:hAnsi="Times New Roman"/>
                <w:b w:val="1"/>
                <w:i w:val="0"/>
                <w:color w:val="000000"/>
                <w:sz w:val="22"/>
              </w:rPr>
              <w:t xml:space="preserve">Artur </w:t>
            </w:r>
            <w:r>
              <w:rPr>
                <w:rFonts w:ascii="Times New Roman" w:hAnsi="Times New Roman"/>
                <w:b w:val="0"/>
                <w:i w:val="0"/>
                <w:color w:val="000000"/>
                <w:sz w:val="22"/>
              </w:rPr>
              <w:fldChar w:fldCharType="end"/>
            </w:r>
            <w:r>
              <w:rPr>
                <w:rFonts w:ascii="Times New Roman" w:hAnsi="Times New Roman"/>
                <w:b w:val="0"/>
                <w:i w:val="0"/>
                <w:color w:val="000000"/>
                <w:sz w:val="22"/>
              </w:rPr>
              <w:fldChar w:fldCharType="begin"/>
            </w:r>
            <w:r>
              <w:rPr>
                <w:rFonts w:ascii="Times New Roman" w:hAnsi="Times New Roman"/>
                <w:b w:val="0"/>
                <w:i w:val="0"/>
                <w:color w:val="000000"/>
                <w:sz w:val="22"/>
              </w:rPr>
              <w:instrText>SIGNATURE_0_1_LASTNAME</w:instrText>
            </w:r>
            <w:r>
              <w:rPr>
                <w:rFonts w:ascii="Times New Roman" w:hAnsi="Times New Roman"/>
                <w:b w:val="0"/>
                <w:i w:val="0"/>
                <w:color w:val="000000"/>
                <w:sz w:val="22"/>
              </w:rPr>
              <w:fldChar w:fldCharType="separate"/>
            </w:r>
            <w:r>
              <w:rPr>
                <w:rFonts w:ascii="Times New Roman" w:hAnsi="Times New Roman"/>
                <w:b w:val="1"/>
                <w:i w:val="0"/>
                <w:color w:val="000000"/>
                <w:sz w:val="22"/>
              </w:rPr>
              <w:t>Juhnke</w:t>
            </w:r>
            <w:r>
              <w:rPr>
                <w:rFonts w:ascii="Times New Roman" w:hAnsi="Times New Roman"/>
                <w:b w:val="0"/>
                <w:i w:val="0"/>
                <w:color w:val="000000"/>
                <w:sz w:val="22"/>
              </w:rPr>
              <w:fldChar w:fldCharType="end"/>
            </w:r>
            <w:r>
              <w:rPr>
                <w:rFonts w:ascii="Times New Roman" w:hAnsi="Times New Roman"/>
                <w:b w:val="0"/>
                <w:i w:val="0"/>
                <w:color w:val="000000"/>
                <w:sz w:val="22"/>
              </w:rPr>
              <w:br w:type="textWrapping"/>
            </w:r>
          </w:p>
        </w:tc>
      </w:tr>
    </w:tbl>
    <w:p>
      <w:pPr>
        <w:keepNext w:val="1"/>
        <w:spacing w:before="0" w:after="0" w:beforeAutospacing="0" w:afterAutospacing="0"/>
        <w:rPr>
          <w:rFonts w:ascii="Times New Roman" w:hAnsi="Times New Roman"/>
          <w:b w:val="0"/>
          <w:i w:val="0"/>
          <w:caps w:val="0"/>
          <w:sz w:val="22"/>
          <w:u w:val="none"/>
          <w:vertAlign w:val="baseline"/>
        </w:rPr>
      </w:pPr>
    </w:p>
    <w:sectPr>
      <w:endnotePr>
        <w:numFmt w:val="decimal"/>
      </w:endnotePr>
      <w:type w:val="nextPage"/>
      <w:pgSz w:w="11906" w:h="16838" w:code="0"/>
      <w:pgMar w:left="1020" w:right="1020" w:top="992" w:bottom="992"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pl-PL" w:bidi="pl-PL" w:eastAsia="pl-PL"/>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rFonts w:ascii="Times New Roman" w:hAnsi="Times New Roman"/>
      <w:sz w:val="22"/>
      <w:lang w:val="pl-PL" w:bidi="pl-PL" w:eastAsia="pl-PL"/>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rPr>
      <w:lang w:val="pl-PL" w:bidi="pl-PL" w:eastAsia="pl-PL"/>
    </w:rPr>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category>Akt prawny</cp:category>
  <dc:creator>Wiese</dc:creator>
  <dcterms:created xsi:type="dcterms:W3CDTF">2023-11-30T12:01:23Z</dcterms:created>
  <cp:lastModifiedBy>HOST-13\Frosina</cp:lastModifiedBy>
  <dcterms:modified xsi:type="dcterms:W3CDTF">2025-10-31T06:51:02Z</dcterms:modified>
  <cp:revision>40</cp:revision>
  <dc:subject>w sprawie wyboru metody ustalania opłaty za gospodarowanie odpadami komunalnymi oraz ustalenia wysokości stawki opłaty  za gospodarowanie odpadami komunalnymi</dc:subject>
  <dc:title>Uchwała Nr LXII/567/2023 z dnia 29 listopada 2023 r.</dc:title>
</cp:coreProperties>
</file>