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182F58B" Type="http://schemas.openxmlformats.org/officeDocument/2006/relationships/officeDocument" Target="/word/document.xml" /><Relationship Id="coreR6182F58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Zgodnie z art. 5 ust. 1 pkt 1 i 2 ustawy z dnia 12 stycznia  1991 r. o podatkach i opłatach lokalnych (tj. Dz. U. z 2025r. poz. 707) rada gminy w drodze uchwały, określa wysokość stawek podatku od nieruchomości, z tym że stawki nie mogą przekroczyć rocznie górnej granicy stawek kwotowych podatku od nieruchomości ogłoszonych w drodze obwieszczenia Ministra Finansów z dnia 1 sierpnia 2025 r. w sprawie górnych granic stawek kwotowych podatków i opłat lokalnych na rok 2026 (M.P. 2025 r. poz. 726).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przypadku podatku od nieruchomości różnicowanie stawek może nastąpić w oparciu o różne kryteria, w szczególności rodzaj prowadzonej działalności gospodarczej, lokalizację, rodzaj zabudowy, przeznaczenie i sposób wykorzystywania nieruchomości, stan techniczny oraz wiek budynku.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20c ustawy o podatkach i opiatach lokalnych w sytuacji, gdy akt prawa miejscowego przewiduje udzielenie pomocy publicznej w przypadkach, o których mowa w art. 5 ust. 2-4, art. 10 ust. 2 oraz art. 19 pkt 1 ustawy o podatkach i opłatach lokalnych, pomoc ta może być udzielana wyłącznie jako pomoc de minimis.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Zgodnie z art. 5 ust. 3 i 4 ustawy o podatkach i opłatach lokalnych rada gminy może wprowadzić           różnicowanie wysokości stawek podatkowych dla budynków związanych z działalnością gospodarczą wpisanych indywidualnie do rejestru zabytków.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przypadku zatem podejmowania przez radę gminy uchwał zgodnie z art. 5 ust. 2-4, art. 10 ust. 2 oraz art. 19 pkt 1 ustawy o podatkach i opłatach lokalnych, w pierwszej kolejności niezbędne jest ustalenie, czy mamy do czynienia z pomocą publiczną, która w tym przypadku może być udzielana wyłącznie jako pomoc de minimis. W szczególności chodzi o przypadki obniżenia stawek w stosunku do konkretnych sektorów działalności gospodarczych (np. hotelarstwa, gastronomii, usług turystycznych, prowadzenia ośrodków wczasowych, budownictwa).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7 ust. 3 ustawy z dnia 30 kwietnia 2004 r. o postępowaniu w sprawach dotyczących pomocy publicznej (Dz. U. z 2025 r., poz. 468) w odniesieniu do projektów programów pomocowych przewidujących udzielenie pomocy de minimis, Prezes UOKiK może jedynie przedstawić zastrzeżenia dotyczące przejrzystości zasad udzielenia pomocy, w tym zgodności programu ze wspólnotowymi lub krajowymi przepisami dotyczącymi udzielenia pomocy de minimis. W przypadku stwierdzenia, iż projekt uchwały różnicującej stawki podatku od nieruchomości zawiera przepisy przejrzyste i zgodne z zasadami udzielania pomocy de minimis, zastrzeżenia nie są w ogóle zgłaszane.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przesłany do Prezesa UOKiK celem jego zaopiniowania.</w:t>
      </w:r>
    </w:p>
    <w:p>
      <w:pPr>
        <w:keepNext w:val="1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przedmiotowej uchwały posiada pozytywną opinię wszystkich stałych komisji Rady Miejskiej w 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rFonts w:ascii="Times New Roman" w:hAnsi="Times New Roman"/>
          <w:b w:val="0"/>
          <w:caps w:val="0"/>
          <w:sz w:val="22"/>
        </w:rPr>
        <w:t> 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Wrotniak</dc:creator>
  <dcterms:created xsi:type="dcterms:W3CDTF">2025-09-08T12:04:46Z</dcterms:created>
  <cp:lastModifiedBy>HOST-13\Frosina</cp:lastModifiedBy>
  <dcterms:modified xsi:type="dcterms:W3CDTF">2025-10-31T06:43:57Z</dcterms:modified>
  <cp:revision>15</cp:revision>
  <dc:subject>w sprawie określenia wysokości stawek i zwolnień od podatku od nieruchomości na terenie Gminy Sępólno Krajeńskie</dc:subject>
  <dc:title>Uchwała nr  XV//2025 z dnia 24 września 2025 r.</dc:title>
</cp:coreProperties>
</file>