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9FB81C0" Type="http://schemas.openxmlformats.org/officeDocument/2006/relationships/officeDocument" Target="/word/document.xml" /><Relationship Id="coreR9FB81C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Nieruchomość przeznaczona do sprzedaży stanowi mienie komunalne Gminy Sępólno Krajeńskie. Zgodnie z art. 18 ust. 2 pkt 9 lit. a ustawy o samorządzie gminnym, do wyłącznej właściwości Rady Miejskiej należy między innymi podejmowanie uchwał w sprawach majątkowych gminy, dotyczących sprzedaży nieruchomości stanowiących własność gminy. Zgodnie z art. 13 ust. 1 ustawy o gospodarce nieruchomościami, nieruchomość będąca własnością gminy może być przedmiotem sprzedaży.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sz w:val="22"/>
        </w:rPr>
      </w:pPr>
      <w:r>
        <w:rPr>
          <w:sz w:val="22"/>
        </w:rPr>
        <w:t xml:space="preserve">Przeznaczona do sprzedaży nieruchomość </w:t>
      </w:r>
      <w:r>
        <w:rPr>
          <w:sz w:val="22"/>
          <w:lang w:val="pl-PL" w:bidi="pl-PL" w:eastAsia="pl-PL"/>
        </w:rPr>
        <w:t xml:space="preserve">działka nr 115/1, </w:t>
      </w:r>
      <w:r>
        <w:rPr>
          <w:sz w:val="22"/>
        </w:rPr>
        <w:t xml:space="preserve">położona w obrębie ewidencyjnym </w:t>
      </w:r>
      <w:r>
        <w:rPr>
          <w:sz w:val="22"/>
          <w:lang w:val="pl-PL" w:bidi="pl-PL" w:eastAsia="pl-PL"/>
        </w:rPr>
        <w:t xml:space="preserve">5 Sępólno Krajeńskie, </w:t>
      </w:r>
      <w:r>
        <w:rPr>
          <w:sz w:val="22"/>
        </w:rPr>
        <w:t>nie jest objęta miejscowym planem zagospodarowania przestrzennego, natomiast w studium uwarunkowań i kierunków zagospodarowania przestrzennego położona jest na obszarze oznaczonym symbol</w:t>
      </w:r>
      <w:r>
        <w:rPr>
          <w:sz w:val="22"/>
          <w:lang w:val="pl-PL" w:bidi="pl-PL" w:eastAsia="pl-PL"/>
        </w:rPr>
        <w:t>em AG</w:t>
      </w:r>
      <w:r>
        <w:rPr>
          <w:sz w:val="22"/>
        </w:rPr>
        <w:t xml:space="preserve"> - obszary </w:t>
      </w:r>
      <w:r>
        <w:rPr>
          <w:sz w:val="22"/>
          <w:lang w:val="pl-PL" w:bidi="pl-PL" w:eastAsia="pl-PL"/>
        </w:rPr>
        <w:t xml:space="preserve">aktywności gospodarczej. </w:t>
      </w:r>
      <w:r>
        <w:rPr>
          <w:sz w:val="22"/>
        </w:rPr>
        <w:t xml:space="preserve">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sz w:val="22"/>
        </w:rPr>
      </w:pPr>
      <w:r>
        <w:rPr>
          <w:sz w:val="22"/>
        </w:rPr>
        <w:t xml:space="preserve">Projekt uchwały został pozytywnie zaopiniowany przez Komisję Gospodarki Komunalnej oraz Porządku Publicznego Rady Miejskiej w Sępólnie Krajeńskim. 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sz w:val="22"/>
        </w:rPr>
      </w:pP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Przewodniczący Rady 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2025-01-13T08:44:03Z</dcterms:created>
  <cp:lastModifiedBy>HOST-13\Frosina</cp:lastModifiedBy>
  <dcterms:modified xsi:type="dcterms:W3CDTF">2025-09-25T08:09:27Z</dcterms:modified>
  <cp:revision>21</cp:revision>
  <dc:subject>w sprawie sprzedaży nieruchomości gruntowej położonej przy ul. Targowej w Sępólnie Krajeńskim</dc:subject>
  <dc:title>Uchwała Nr X/.../2025 z dnia 29 stycznia 2025 r.</dc:title>
</cp:coreProperties>
</file>