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DEBB1B" Type="http://schemas.openxmlformats.org/officeDocument/2006/relationships/officeDocument" Target="/word/document.xml" /><Relationship Id="coreR76DEBB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2025 - 2035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2025 -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2025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2025 roku stanowią ponad 23%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Planowany w 2024 roku kredyt w wysokości 1 335 854,85zł (pokazany w załączniku nr 1 prognozy, kolumna 3 kwartał 2024 roku) nie zostanie zaciągnięty, stąd w prognozie wykonania na 2024 (kolumna wykonanie 2024, poz. 6) wykazano kwotę długu wynikającą z faktycznie zaciągniętych  zobowiązań. 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</w:t>
      </w:r>
      <w:r>
        <w:rPr>
          <w:rFonts w:ascii="Times New Roman" w:hAnsi="Times New Roman"/>
          <w:sz w:val="20"/>
        </w:rPr>
        <w:t>Budowa drogi gminnej w miejscowości Świdwie. Dofinansowanie w ramach PROW. Realizacja 2024-2025.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Budowa kanalizacji sanitarnej w Lutowie. Dofinansowanie w ramach PROW. Realizacja 2024-2025.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c)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d) Budowa zbiornika retencyjnego we Włościborzu. Zadanie realizowane w ramach PROW. Dofinansowanie 100%. Zadanie realizowane w 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Kompleksowa modernizacja energetyczna wraz z audytem wiejskich szkół podstawowych w Gminie Sępólno Krajeńskie. Dofinansowanie w ramach środków Fundusze Europejskie dla Kujaw i pomorza.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Cyberbezpieczny samorząd. Poprawa cyberbezpieczeństwa w Gminie Sępólno Krajeńskie.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Opracowanie planu zagospodarowania przestrzennego ul. Bajkowa w Sępólnie Krajeńskim.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e) Opracowanie planu  zagospodarowania przestrzennego os. Leśne w Sępólnie Krajeńskim.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f) Umowa dzierżawy - Rozświetlamy Polskę. Umowa zawarta na okres trwałości projektu tj. na lata 2024-2029.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Publiczny transport zbiorowy - umowa o swiadczenie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h)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Rozbudowa Szkoły Podstawowej w Wiśniewie. Zadanie realizowane w latach 2022-2025.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Budowa budynku Centrum Opiekuńczo-Mieszkalnego przy ulicy Młyńskiej w Sępólnie Krajeńskim. Zadanie planowane do realizacji na lata 2023-2025. Zadanie dofinansowane ze środków Funduszu Solidarnościowego.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</w:rPr>
        <w:t>d) Rozbudowa Żłobka w ramach KPO. Zwiększenie dostępności miejsc dla dzieci. Zadanie realizowane w latach 2023-2025.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</w:rPr>
        <w:t>e) Budowa drogi w miejscowości Wałdówko oraz relacji Komierowo – Mała Klonia. Inwestycja dofinansowana z Rządowego Funduszu Polski Ład: Programu Inwestycji Strategicznych – PGR. Realizacja 2023-2025.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</w:rPr>
        <w:t xml:space="preserve">f) Remont muru kamienno-ceglanego - ogrodzenia cmentarza przy kościele w Wałdowie wpisanym do rej. zabytków woj. kujawsko-pomorskiego dec. nr A/816 z 11.10.1993 r. Dofinansowanie z </w:t>
      </w:r>
      <w:r>
        <w:rPr>
          <w:rFonts w:ascii="Times New Roman" w:hAnsi="Times New Roman"/>
          <w:sz w:val="20"/>
          <w:shd w:val="clear" w:color="auto" w:fill="FFFFFF"/>
        </w:rPr>
        <w:t xml:space="preserve">Rządowego Programu Odbudowy Zabytków – Polski Ład. </w:t>
      </w:r>
      <w:r>
        <w:rPr>
          <w:rFonts w:ascii="Times New Roman" w:hAnsi="Times New Roman"/>
          <w:sz w:val="20"/>
        </w:rPr>
        <w:t>Realizacja 2023-2025.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g) Remont dachu kościoła filialnego pw. św. Józefa i św. Kazimierza we Włościborzu. Dofinansowanie z </w:t>
      </w:r>
      <w:r>
        <w:rPr>
          <w:rFonts w:ascii="Times New Roman" w:hAnsi="Times New Roman"/>
          <w:sz w:val="20"/>
          <w:shd w:val="clear" w:color="auto" w:fill="FFFFFF"/>
        </w:rPr>
        <w:t xml:space="preserve">Rządowego Programu Odbudowy Zabytków – Polski Ład. </w:t>
      </w:r>
      <w:r>
        <w:rPr>
          <w:rFonts w:ascii="Times New Roman" w:hAnsi="Times New Roman"/>
          <w:sz w:val="20"/>
        </w:rPr>
        <w:t>Realizacja 2023-2025.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h)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i) </w:t>
      </w:r>
      <w:r>
        <w:rPr>
          <w:rFonts w:ascii="Times New Roman" w:hAnsi="Times New Roman"/>
          <w:sz w:val="20"/>
        </w:rPr>
        <w:t>Przebudowa drogi w Piasecznie - Środki Rządowego Funduszu Rozwoju Dróg. Realizacja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</w:rPr>
        <w:t>j) Budowa wodociągu Radońsk. Realizacja po otrzymaniu dofinansowania planowana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k) "Rozświetlamy Polskę" - wymiana nieenergooszczędnych opraw na terenie Gminy Sępólno Krajeńskie. Dofinansowanie w ramach programu Polski Ład.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l)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m) Program "Ciepłe mieszkanie". Zadanie realizowane ze środków WFOŚiGW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n) Badania konserwatorskie, wykonanie programu prac, konserwacja i restauracja ołtarza głównego, obrazu, remont prezbiterium Kościoła w Sępólnie Krajeńskim. Dofinansowanie z Rządowego Programu Odbudowy Zabytków - Polski Ład. Realizacja w latach 2024-2025.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o) Uzbrojenie terenów inwestycyjnych - dokumentacja projektowa.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p) Dokumentacja projektowa dróg gminnych.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r) Opracowanie dokumentacji projektowej na budowe kanalizacji sanitarnej w Lutowie i Siedlisku.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s) Modernizacja ul. Ogrodowej. Zadanie realizowane w latach 2024-2025. Poprawa jakości dróg.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t) Zagospodarowanie lasku komunalnego wraz ze studium wykonalności.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w) Dokumentacja projektowa przebudowy ul. Wysokiej w Sępólnie Krajeńskim. Zadanie realizowane w latach 2025-2026.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t>Przewodniczący Rady Miejskiej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Artur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Juhnke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</w:tbl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ab/>
        <w:tab/>
        <w:tab/>
        <w:tab/>
        <w:tab/>
        <w:tab/>
        <w:tab/>
        <w:tab/>
      </w: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sectPr>
      <w:type w:val="nextPage"/>
      <w:pgSz w:w="11906" w:h="16838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2025-09-25T09:08:12Z</dcterms:created>
  <cp:lastModifiedBy>HOST-13\Frosina</cp:lastModifiedBy>
  <dcterms:modified xsi:type="dcterms:W3CDTF">2025-09-25T09:24:53Z</dcterms:modified>
  <cp:revision>2</cp:revision>
</cp:coreProperties>
</file>