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03863B0" Type="http://schemas.openxmlformats.org/officeDocument/2006/relationships/officeDocument" Target="/word/document.xml" /><Relationship Id="coreR103863B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lineRule="auto" w:line="360" w:beforeAutospacing="0" w:afterAutospacing="0"/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Niniejszą uchwałę podejmuje się w celu uzupełnienia składu osobowego stałej Komisji Gospodarki Komunalnej oraz Porządku Publicznego Rady Miejskiej w Sępólnie Krajeńskim. Projekt niniejszej uchwały uzyskał pozytywną opinię Komisji Statutowej i Pomocy Społecznej Rady Miejskiej w Sępólnie Krajeńskim.</w:t>
      </w: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HOST-03\Marcin</dc:creator>
  <dcterms:created xsi:type="dcterms:W3CDTF">2025-08-13T08:33:51Z</dcterms:created>
  <cp:lastModifiedBy>HOST-13\Frosina</cp:lastModifiedBy>
  <dcterms:modified xsi:type="dcterms:W3CDTF">2025-08-28T11:48:35Z</dcterms:modified>
  <cp:revision>5</cp:revision>
</cp:coreProperties>
</file>