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1FAB3A4" Type="http://schemas.openxmlformats.org/officeDocument/2006/relationships/officeDocument" Target="/word/document.xml" /><Relationship Id="coreR21FAB3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art. 28aa ust. 1 i 2 ustawy z 8 marca 1990 r. o samorządzie gminnym, burmistrz co roku do dnia 31 maja przedstawia radzie gminy raport o stanie  gminy,  który  obejmuje podsumowanie  działalności burmistrza w roku poprzednim, w szczególności  realizację  polityk,  programów  i strategii,  uchwał  rady  gminy  i budżetu obywatelskiego.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Burmistrz Sępólna Krajeńskiego przedstawił Radzie Miejskiej w Sępólnie Krajeńskim raport o stanie  gminy.  Po  przeprowadzeniu  debaty  nad  tym  raportem, postanawia się udzielić wotum zaufania Burmistrzowi Sępólna Krajeńskiego.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przedmiotowej uchwały uzyskał pozytywną opinię Komisji Statutowej i Pomocy Społecznej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1"/>
              <w:spacing w:before="0" w:after="0" w:beforeAutospacing="0" w:afterAutospacing="0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1"/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</w:p>
          <w:p>
            <w:pPr>
              <w:keepNext w:val="1"/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t xml:space="preserve"> </w:t>
            </w:r>
          </w:p>
          <w:p>
            <w:pPr>
              <w:keepNext w:val="1"/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z w:val="22"/>
                <w:u w:val="none"/>
                <w:vertAlign w:val="baseline"/>
              </w:rPr>
              <w:t xml:space="preserve">Artur 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z w:val="22"/>
                <w:u w:val="none"/>
                <w:vertAlign w:val="baseline"/>
              </w:rPr>
              <w:t>Juhnke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Wojtania</dc:creator>
  <dcterms:created xsi:type="dcterms:W3CDTF">2024-05-07T08:09:10Z</dcterms:created>
  <cp:lastModifiedBy>HOST-13\Frosina</cp:lastModifiedBy>
  <dcterms:modified xsi:type="dcterms:W3CDTF">2025-05-29T09:30:13Z</dcterms:modified>
  <cp:revision>13</cp:revision>
  <dc:subject>w sprawie w sprawie udzielenia Burmistrzowi Sępólna Krajeńskiego wotum zaufania</dc:subject>
  <dc:title>Uchwała Nr II/.../2024 z dnia 29 maja 2024 r.</dc:title>
</cp:coreProperties>
</file>