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CD542FE" Type="http://schemas.openxmlformats.org/officeDocument/2006/relationships/officeDocument" Target="/word/document.xml" /><Relationship Id="coreR7CD542F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18 ust. 2 pkt 9 lit. a ustawy o samorządzie gminnym, rada gminy podejmuje uchwały w sprawach majątkowych gminy przekraczających zakres zwykłego zarządu, dotyczących m.in. nabycia nieruchomości gruntowych.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Przedmiotem niniejszej uchwały jest wyrażenie zgody na odpłatne nabycie do gminnego zasobu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,</w:t>
      </w:r>
      <w:r>
        <w:rPr>
          <w:rFonts w:ascii="Times New Roman" w:hAnsi="Times New Roman"/>
          <w:b w:val="0"/>
          <w:caps w:val="0"/>
          <w:sz w:val="22"/>
        </w:rPr>
        <w:t xml:space="preserve"> nieruchomości gruntow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ych</w:t>
      </w:r>
      <w:r>
        <w:rPr>
          <w:rFonts w:ascii="Times New Roman" w:hAnsi="Times New Roman"/>
          <w:b w:val="0"/>
          <w:caps w:val="0"/>
          <w:sz w:val="22"/>
        </w:rPr>
        <w:t xml:space="preserve"> niezabudowan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ych </w:t>
      </w:r>
      <w:r>
        <w:rPr>
          <w:rFonts w:ascii="Times New Roman" w:hAnsi="Times New Roman"/>
          <w:b w:val="0"/>
          <w:caps w:val="0"/>
          <w:sz w:val="22"/>
        </w:rPr>
        <w:t>oznaczon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ych w</w:t>
      </w:r>
      <w:r>
        <w:rPr>
          <w:rFonts w:ascii="Times New Roman" w:hAnsi="Times New Roman"/>
          <w:b w:val="0"/>
          <w:caps w:val="0"/>
          <w:sz w:val="22"/>
        </w:rPr>
        <w:t> ewidencji gruntów jako działk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i</w:t>
      </w:r>
      <w:r>
        <w:rPr>
          <w:rFonts w:ascii="Times New Roman" w:hAnsi="Times New Roman"/>
          <w:b w:val="0"/>
          <w:caps w:val="0"/>
          <w:sz w:val="22"/>
        </w:rPr>
        <w:t xml:space="preserve"> nr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154/3 oraz 154/6</w:t>
      </w:r>
      <w:r>
        <w:rPr>
          <w:rFonts w:ascii="Times New Roman" w:hAnsi="Times New Roman"/>
          <w:b w:val="0"/>
          <w:caps w:val="0"/>
          <w:sz w:val="22"/>
        </w:rPr>
        <w:t xml:space="preserve"> obr.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16 Wilkowo,</w:t>
      </w:r>
      <w:r>
        <w:rPr>
          <w:rFonts w:ascii="Times New Roman" w:hAnsi="Times New Roman"/>
          <w:b w:val="0"/>
          <w:caps w:val="0"/>
          <w:sz w:val="22"/>
        </w:rPr>
        <w:t xml:space="preserve"> gm. Sępólno Krajeńskie, o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łącznej powierzchni 0,0633</w:t>
      </w:r>
      <w:r>
        <w:rPr>
          <w:rFonts w:ascii="Times New Roman" w:hAnsi="Times New Roman"/>
          <w:b w:val="0"/>
          <w:caps w:val="0"/>
          <w:sz w:val="22"/>
        </w:rPr>
        <w:t xml:space="preserve"> ha.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Nabycie ww. dział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e</w:t>
      </w:r>
      <w:r>
        <w:rPr>
          <w:rFonts w:ascii="Times New Roman" w:hAnsi="Times New Roman"/>
          <w:b w:val="0"/>
          <w:caps w:val="0"/>
          <w:sz w:val="22"/>
        </w:rPr>
        <w:t>k jest niezbędne w celu przeznaczenia na drogę publiczną oraz ma służyć poprawie bezepieczeństwa użytkowników ruchu drogowego. Dla realizacji niniejszego celu publicznego, Gmina podejmuje starania o nabycie do gminnego zasobu nieruchomości, gruntów przeznaczonych pod drogę.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Przewodniczący Rady 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2023-07-24T09:44:03Z</dcterms:created>
  <cp:lastModifiedBy>HOST-13\Frosina</cp:lastModifiedBy>
  <dcterms:modified xsi:type="dcterms:W3CDTF">2025-03-27T09:28:56Z</dcterms:modified>
  <cp:revision>23</cp:revision>
  <dc:subject>w sprawie wyrażenia zgody na odpłatne nabycie nieruchomości gruntowej o numerze 111/1 obr. 15 Wałdówko, gm. Sępólno Krajeńskie</dc:subject>
  <dc:title>Uchwała Nr LIX/.../2023 z dnia 30 sierpnia 2023 r.</dc:title>
</cp:coreProperties>
</file>