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35FA166" Type="http://schemas.openxmlformats.org/officeDocument/2006/relationships/officeDocument" Target="/word/document.xml" /><Relationship Id="coreR235FA16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Zmiana Wieloletniej Prognozy Finansowej związana jest z aktualizacją wartości i okresu realizacji przedsięwzięć (m.in. dokumentacja projektowa obwodnica, przesunięcie terminów planów zagospodarowania przestrzennego) oraz wprowadzeniem nowych zadań: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Publiczny transport zbiorowy (umowa o świadczenie usług w zakresie publicznego transportu zbiorowego) – zadanie realizowane w latach 2025-2035.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Aktualizuje się dochody i wydatki do wysokości określonych w uchwale budżetowej.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przedstawiony na Komisji Budżetu Rady Miejskiej w Sępólnie Krajeńskim i zaopiniowany pozytywnie.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A.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Frosina</dc:creator>
  <dcterms:created xsi:type="dcterms:W3CDTF">2025-01-30T12:22:56Z</dcterms:created>
  <cp:lastModifiedBy>HOST-13\Frosina</cp:lastModifiedBy>
  <dcterms:modified xsi:type="dcterms:W3CDTF">2025-01-30T11:23:54Z</dcterms:modified>
  <cp:revision>3</cp:revision>
  <dc:subject>zmieniająca uchwałę w sprawie Wieloletniej Prognozy Finansowej Gminy Sępólno Krajeńskie</dc:subject>
  <dc:title>Uchwała Nr X/86/2025 z dnia 29 stycznia 2025 r.</dc:title>
</cp:coreProperties>
</file>