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0E09D3B" Type="http://schemas.openxmlformats.org/officeDocument/2006/relationships/officeDocument" Target="/word/document.xml" /><Relationship Id="coreR30E09D3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Z art. 39a ust. 2 i 3 ustawy z dnia 14 grudnia 2016 r. prawo oświatowe wynika, że  zwrot kosztów jednorazowego przewozu dziecka niepełnosprawnego z miejsca zamieszkania do placówki oświatowej i z powrotem, gdy dowóz zapewniają rodzice, następuje w wysokości wyliczonej według wzoru: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center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Koszt = (a – b) • c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gdzie: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 - liczba kilometrów przewozu drogami publicznymi z miejsca zamieszkania do przedszkola, oddziału przedszkolnego w szkole podstawowej, innej formy wychowania przedszkolnego, ośrodka rewalidacyjno-wychowawczego, szkoły podstawowej albo szkoły ponadpodstawowej, a także przewozu rodzica z tego miejsca do miejsca zamieszkania lub miejsca pracy, i z powrotem,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b - liczba kilometrów przewozu drogami publicznymi z miejsca zamieszkania rodzica do miejsca pracy i z powrotem, jeżeli nie wykonywałby przewozu, o którym mowa w lit. a,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c – stawka za 1 km przebiegu pojazdu.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Stawkę za 1 km przebiegu pojazdu określa rada gminy, w drodze uchwały, przy czym nie może być ona niższa niż określona w przepisach wydanych na podstawie art. 34a ust. 2 ustawy z dnia 6 września 2001 r. o transporcie drogowym (Dz. U. z 2022 r. poz.2201 ze zm.).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Rozporządzenie Ministra Infrastruktury z dnia 22 grudnia 2022 r. (Dz. U. z 2023 r. poz. 5, wejście w życie 17 stycznia 2023 r.) podwyższa dotychczasowe stawki przyjęte w obowiązującej obecnie uchwale Rady Miejskiej w Sępólnie Krajeńskim. W niniejszej uchwale przyjmuje się stawki w wysokości określonej w tym rozporządzeniu od dnia wejścia w życie ww. rozporządzenia. Nie stoją temu na przeszkodzie zasady demokratycznego państwa prawa.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uzyskał pozytywną opinię Komisji Oświaty, Kultury, Sportu i Zdrowia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Otlewski</dc:creator>
  <dcterms:created xsi:type="dcterms:W3CDTF">2023-02-13T08:59:59Z</dcterms:created>
  <cp:lastModifiedBy>HOST-13\Frosina</cp:lastModifiedBy>
  <dcterms:modified xsi:type="dcterms:W3CDTF">2023-02-23T07:20:30Z</dcterms:modified>
  <cp:revision>5</cp:revision>
  <dc:subject>w sprawie określenia stawki za 1 kilometr przebiegu pojazdu.</dc:subject>
  <dc:title>Uchwała Nr LIV/.../2023 z dnia 22 lutego 2023 r.</dc:title>
</cp:coreProperties>
</file>