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60A9908" Type="http://schemas.openxmlformats.org/officeDocument/2006/relationships/officeDocument" Target="/word/document.xml" /><Relationship Id="coreR760A990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229 pkt 3 ustawy z dnia 14 czerwca 1960 r. Kodeks postepowania administracyjnego (t.j. Dz.U. z 2024 r., poz. 572) organem właściwym do rozpatrzenia skargi na kierownika gminnej jednostki organizacyjnej jest Rada Miejska. W związku z powyższym przygotowano projekt niniejszej uchwały.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Frosina</dc:creator>
  <dcterms:created xsi:type="dcterms:W3CDTF">2024-11-28T09:15:55Z</dcterms:created>
  <cp:lastModifiedBy>HOST-13\Frosina</cp:lastModifiedBy>
  <dcterms:modified xsi:type="dcterms:W3CDTF">2024-11-28T08:16:12Z</dcterms:modified>
  <cp:revision>2</cp:revision>
  <dc:subject>w sprawie pozostawienia bez rozpoznania anonimowej skargi</dc:subject>
  <dc:title>Uchwała Nr VIII/77/2024 z dnia 27 listopada 2024 r.</dc:title>
</cp:coreProperties>
</file>