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4BDE1C4" Type="http://schemas.openxmlformats.org/officeDocument/2006/relationships/officeDocument" Target="/word/document.xml" /><Relationship Id="coreR74BDE1C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do uchwały Nr LIV/501/2023</w:t>
        <w:br w:type="textWrapping"/>
        <w:t>Rady Miejskiej w Sępólnie Krajeńskim</w:t>
        <w:br w:type="textWrapping"/>
        <w:t>z dnia 22 lutego 2023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Regulamin przyznawania nagrody honorowej pod nazwą "Nagroda Świętego Wawrzyńca - Patrona Gminy Sępólno Krajeńskie"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sz w:val="22"/>
        </w:rPr>
        <w:t>§ 1.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Nagroda ma charakter honorowy, będzie przyznawana osobom fizycznym i prawnym oraz innym jednostkom organizacyjnym za podejmowane starania i działania oraz osiągnięcia mające szczególne znaczenie dla rozwoju, promocji, dobra Gminy Sępólno Krajeńskie.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2. </w:t>
      </w: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Prawo zgłaszania kandydatów do nagrody ma grupa co najmniej: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 radnych Rady Miejskiej w Sępólnie Krajeńskim;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 stowarzyszeń działających na terenie Gminy Sępólno Krajeńskie;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3)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200 mieszkańców Gminy Sępólno Krajeńskie ujętych w stałym rejestrze wyborców tejże Gminy.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Każdy z wnioskodawców określonych w ust. 1 niniejszego paragrafu może zgłosić w danym roku tylko 1 kandydata do nagrody.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3. </w:t>
      </w: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danym roku kalendarzowym może być przyznana tylko 1 nagroda.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 Sępólna Krajeńskiego może zrezygnować z przyznania nagrody w danym roku kalendarzowym.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4.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Wzór wniosku, terminy zgłaszania kandydatów do nagrody ustala Burmistrz Sępólna Krajeńskiego.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5.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Wyboru laureata nagrody dokonuje Burmistrz Sępólna Krajeńskiego po zasięgnięciu opinii radnych Rady Miejskiej w Sępólnie Krajeńskim na wspólnym posiedzeniu komisji pod przewodnictwem Komisji Statutowej i Pomocy Społecznej Rady Miejskiej w Sępólnie Krajeńskim.</w:t>
      </w:r>
    </w:p>
    <w:p>
      <w:pPr>
        <w:keepNext w:val="1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6.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Przyznana nagroda wręczona będzie przez Burmistrza i Przewodniczącego Rady Miejskiej w Sępólnie Krajeńskim podczas uroczystej sesji, która odbywać się będzie w miesiącu sierpniu danego roku.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2023-02-23T09:03:32Z</dcterms:created>
  <cp:lastModifiedBy>HOST-13\Frosina</cp:lastModifiedBy>
  <dcterms:modified xsi:type="dcterms:W3CDTF">2023-02-23T08:03:45Z</dcterms:modified>
  <cp:revision>2</cp:revision>
  <dc:subject>zmieniająca uchwałę w sprawie ustanowienia nagrody pod nazwą "Nagroda Świętego Wawrzyńca - Patrona Gminy Sępólno Krajeńskie"</dc:subject>
  <dc:title>Uchwała Nr LIV/501/2023 z dnia 22 lutego 2023 r.</dc:title>
</cp:coreProperties>
</file>