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3CBD328" Type="http://schemas.openxmlformats.org/officeDocument/2006/relationships/officeDocument" Target="/word/document.xml" /><Relationship Id="coreR43CBD32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Nieruchomość przeznaczona do sprzedaży stanowi mienie komunalne Gminy Sępólno Krajeńskie. Zgodnie z art. 18 ust. 2 pkt 9 lit. a ustawy o samorządzie gminnym, do wyłącznej właściwości Rady Miejskiej należy między innymi podejmowanie uchwał w sprawach majątkowych gminy, dotyczących sprzedaży nieruchomości stanowiących własność gminy. Zgodnie z art. 13 ust. 1 ustawy o gospodarce nieruchomościami, nieruchomość będąca własnością gminy może być przedmiotem sprzedaży.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Przeznaczona do sprzedaży nieruchomość jest położona w obrębie ewidencyjnym 17 Wiśniewa. Przedmiotowa nieruchomość nie jest objęta miejscowym planem zagospodarowania przestrzennego, natomiast w studium uwarunkowań i kierunków zagospodarowania przestrzennego położona jest na obszarze oznaczonym symbolami R2 - obszary rolne z ograniczeniami inwestycyjnymi oraz RM1 - obszary wielofunkcyjne o dominującym udziale zabudowy zagrodowej z udziałem zabudowy mieszkaniowej.</w:t>
      </w:r>
    </w:p>
    <w:p>
      <w:pPr>
        <w:keepNext w:val="1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Gospodarki Komunalnej oraz Porządku Publicznego Rady Miejskiej w Sępólnie Krajeńskim.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rFonts w:ascii="Times New Roman" w:hAnsi="Times New Roman"/>
          <w:b w:val="0"/>
          <w:caps w:val="0"/>
          <w:sz w:val="22"/>
        </w:rPr>
        <w:t> 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 xml:space="preserve">Przewodniczący Rady 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2024-07-29T13:20:40Z</dcterms:created>
  <cp:lastModifiedBy>HOST-13\Frosina</cp:lastModifiedBy>
  <dcterms:modified xsi:type="dcterms:W3CDTF">2024-10-31T10:18:44Z</dcterms:modified>
  <cp:revision>12</cp:revision>
  <dc:subject>w sprawie sprzedaży nieruchomości gruntowej położonej we wsi Wiśniewa, gm. Sępólno Krajeńskie</dc:subject>
  <dc:title>Uchwała Nr IV/.../2024 z dnia 28 sierpnia 2024 r.</dc:title>
</cp:coreProperties>
</file>