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D6A49D3" Type="http://schemas.openxmlformats.org/officeDocument/2006/relationships/officeDocument" Target="/word/document.xml" /><Relationship Id="coreRD6A49D3"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
      <w:pPr>
        <w:keepNext w:val="0"/>
        <w:keepLines w:val="0"/>
        <w:ind w:firstLine="0" w:left="0" w:right="0"/>
        <w:jc w:val="center"/>
        <w:rPr>
          <w:rFonts w:ascii="Times New Roman" w:hAnsi="Times New Roman"/>
          <w:sz w:val="22"/>
        </w:rPr>
      </w:pPr>
      <w:r>
        <w:rPr>
          <w:rFonts w:ascii="Times New Roman" w:hAnsi="Times New Roman"/>
          <w:b w:val="1"/>
          <w:caps w:val="0"/>
          <w:sz w:val="22"/>
        </w:rPr>
        <w:t>Uzasadnienie</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Na podstawie art. 6k ustawy z dnia 13 września 1996 r. o utrzymaniu czystości i porządku w gminach (t.j. Dz. U. z 2024 r. poz. 399) Rada Miejska w Sępólnie Krajeńskim jest zobowiązana</w:t>
        <w:br w:type="textWrapping"/>
        <w:t>do podjęcia uchwały w sprawie wyboru metody ustalenia opłaty za gospodarowanie odpadami komunalnymi oraz ustalenia stawki opłaty.</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 xml:space="preserve">Ze względu na wzrost kosztów związanych z odbiorem i zagospodarowaniem odpadów komunalnych pochodzących  z nieruchomości zamieszkałych z terenu gminy Sępólno Krajeńskie, zaistniała konieczność podwyższenia stawek opłaty za gospodarowanie odpadami komunalnymi. Ustalona niniejszą uchwałą stawka opłaty za gospodarowanie odpadami komunalnymi oraz stawka opłaty podwyższonej, nie przekraczają maksymalnych stawek opłat, okreslonych w art. 6k, ust. 2a pkt 1, ust. 3 ustawy o utrzymaniu czystości i porządku w gminach.</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Po dokonaniu kalkulacji kosztów związanych z funkcjonowaniem systemu gospodarki odpadami ustalono, że opłaty pobrane od właścicieli nieruchomości zamieszkałych nie są wystarczające na pokrycie wydatków z nim związanych i planowanych w 2025 roku. Podwyższenie opłaty za gospodarowanie odpadami komunalnymi od jednego mieszkańca do wysokości 36,00 zł, pozwoli na pokrycie części kosztów systemu gospodarowania odpadami komunalnymi na terenie gminy Sępólno Krajeńskie. Przedstawiona w niniejszej uchwale stawka nie pozwoli jednak na samobilansowanie się systemu.</w:t>
      </w:r>
    </w:p>
    <w:p>
      <w:pPr>
        <w:keepNext w:val="1"/>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Projekt uchwały został przedstawiony na wspólnym posiedzeniu wszystkich stałych Komisji Rady Miejskiej w Sępólnie Krajeńskim i został zaopiniowany pozytywnie.</w:t>
      </w:r>
    </w:p>
    <w:p>
      <w:pPr>
        <w:keepNext w:val="1"/>
        <w:spacing w:before="0" w:after="0" w:beforeAutospacing="0" w:afterAutospacing="0"/>
        <w:rPr>
          <w:rFonts w:ascii="Times New Roman" w:hAnsi="Times New Roman"/>
          <w:b w:val="0"/>
          <w:i w:val="0"/>
          <w:caps w:val="0"/>
          <w:sz w:val="22"/>
          <w:u w:val="none"/>
          <w:vertAlign w:val="baseline"/>
        </w:rPr>
      </w:pPr>
      <w:r>
        <w:rPr>
          <w:rFonts w:ascii="Times New Roman" w:hAnsi="Times New Roman"/>
          <w:b w:val="0"/>
          <w:caps w:val="0"/>
          <w:sz w:val="22"/>
        </w:rPr>
        <w:t>  </w:t>
      </w:r>
    </w:p>
    <w:tbl>
      <w:tblPr>
        <w:tblLayout w:type="fixed"/>
        <w:tblCellMar>
          <w:top w:w="0" w:type="dxa"/>
          <w:left w:w="0" w:type="dxa"/>
          <w:bottom w:w="0" w:type="dxa"/>
          <w:right w:w="0" w:type="dxa"/>
        </w:tblCellMar>
      </w:tblPr>
      <w:tblGrid/>
      <w:tr>
        <w:tblPrEx>
          <w:tblW w:w="5000" w:type="pct"/>
          <w:tblCellMar>
            <w:top w:w="0" w:type="dxa"/>
            <w:left w:w="0" w:type="dxa"/>
            <w:bottom w:w="0" w:type="dxa"/>
            <w:right w:w="0" w:type="dxa"/>
          </w:tblCellMar>
        </w:tblPrEx>
        <w:tc>
          <w:tcPr>
            <w:tcW w:w="4935" w:type="dxa"/>
            <w:noWrap w:val="0"/>
            <w:tcMar>
              <w:top w:w="0" w:type="dxa"/>
              <w:left w:w="0" w:type="dxa"/>
              <w:bottom w:w="0" w:type="dxa"/>
              <w:right w:w="0" w:type="dxa"/>
            </w:tcMar>
            <w:vAlign w:val="top"/>
            <w:hideMark/>
          </w:tcPr>
          <w:p>
            <w:pPr>
              <w:jc w:val="left"/>
              <w:rPr>
                <w:rFonts w:ascii="Times New Roman" w:hAnsi="Times New Roman"/>
                <w:b w:val="0"/>
                <w:i w:val="0"/>
                <w:color w:val="000000"/>
                <w:sz w:val="22"/>
              </w:rPr>
            </w:pPr>
          </w:p>
        </w:tc>
        <w:tc>
          <w:tcPr>
            <w:tcW w:w="4935" w:type="dxa"/>
            <w:noWrap w:val="0"/>
            <w:tcMar>
              <w:top w:w="0" w:type="dxa"/>
              <w:left w:w="0" w:type="dxa"/>
              <w:bottom w:w="0" w:type="dxa"/>
              <w:right w:w="0" w:type="dxa"/>
            </w:tcMar>
            <w:vAlign w:val="top"/>
            <w:hideMark/>
          </w:tcPr>
          <w:p>
            <w:pPr>
              <w:keepNext w:val="1"/>
              <w:keepLines w:val="1"/>
              <w:spacing w:before="560" w:after="560" w:beforeAutospacing="0" w:afterAutospacing="0"/>
              <w:ind w:firstLine="0" w:left="1134" w:right="1134"/>
              <w:jc w:val="center"/>
              <w:rPr>
                <w:rFonts w:ascii="Times New Roman" w:hAnsi="Times New Roman"/>
                <w:b w:val="1"/>
                <w:i w:val="0"/>
                <w:color w:val="000000"/>
                <w:sz w:val="22"/>
              </w:rPr>
            </w:pPr>
            <w:r>
              <w:rPr>
                <w:rFonts w:ascii="Times New Roman" w:hAnsi="Times New Roman"/>
                <w:b w:val="0"/>
                <w:i w:val="0"/>
                <w:color w:val="000000"/>
                <w:sz w:val="22"/>
              </w:rPr>
              <w:fldChar w:fldCharType="begin"/>
            </w:r>
            <w:r>
              <w:rPr>
                <w:rFonts w:ascii="Times New Roman" w:hAnsi="Times New Roman"/>
                <w:b w:val="0"/>
                <w:i w:val="0"/>
                <w:color w:val="000000"/>
                <w:sz w:val="22"/>
              </w:rPr>
              <w:instrText>MERGEFIELD SIGNATURE_0_0__FUNCTION \* MERGEFORMAT</w:instrText>
            </w:r>
            <w:r>
              <w:rPr>
                <w:rFonts w:ascii="Times New Roman" w:hAnsi="Times New Roman"/>
                <w:b w:val="0"/>
                <w:i w:val="0"/>
                <w:color w:val="000000"/>
                <w:sz w:val="22"/>
              </w:rPr>
              <w:fldChar w:fldCharType="separate"/>
            </w:r>
            <w:r>
              <w:rPr>
                <w:rFonts w:ascii="Times New Roman" w:hAnsi="Times New Roman"/>
                <w:b w:val="0"/>
                <w:i w:val="0"/>
                <w:color w:val="000000"/>
                <w:sz w:val="22"/>
              </w:rPr>
              <w:t>Przewodniczący Rady Miejskiej</w:t>
            </w:r>
            <w:r>
              <w:rPr>
                <w:rFonts w:ascii="Times New Roman" w:hAnsi="Times New Roman"/>
                <w:b w:val="0"/>
                <w:i w:val="0"/>
                <w:color w:val="000000"/>
                <w:sz w:val="22"/>
              </w:rPr>
              <w:fldChar w:fldCharType="end"/>
            </w:r>
            <w:r>
              <w:rPr>
                <w:rFonts w:ascii="Times New Roman" w:hAnsi="Times New Roman"/>
                <w:b w:val="0"/>
                <w:i w:val="0"/>
                <w:color w:val="000000"/>
                <w:sz w:val="22"/>
              </w:rPr>
              <w:br w:type="textWrapping"/>
              <w:br w:type="textWrapping"/>
              <w:br w:type="textWrapping"/>
            </w:r>
            <w:r>
              <w:rPr>
                <w:rFonts w:ascii="Times New Roman" w:hAnsi="Times New Roman"/>
                <w:b w:val="1"/>
                <w:i w:val="0"/>
                <w:color w:val="000000"/>
                <w:sz w:val="22"/>
              </w:rPr>
              <w:fldChar w:fldCharType="begin"/>
            </w:r>
            <w:r>
              <w:rPr>
                <w:rFonts w:ascii="Times New Roman" w:hAnsi="Times New Roman"/>
                <w:b w:val="1"/>
                <w:i w:val="0"/>
                <w:color w:val="000000"/>
                <w:sz w:val="22"/>
              </w:rPr>
              <w:instrText>MERGEFIELD SIGNATURE_0_0_FIRSTNAME \* MERGEFORMAT</w:instrText>
            </w:r>
            <w:r>
              <w:rPr>
                <w:rFonts w:ascii="Times New Roman" w:hAnsi="Times New Roman"/>
                <w:b w:val="1"/>
                <w:i w:val="0"/>
                <w:color w:val="000000"/>
                <w:sz w:val="22"/>
              </w:rPr>
              <w:fldChar w:fldCharType="separate"/>
            </w:r>
            <w:r>
              <w:rPr>
                <w:rFonts w:ascii="Times New Roman" w:hAnsi="Times New Roman"/>
                <w:b w:val="1"/>
                <w:i w:val="0"/>
                <w:color w:val="000000"/>
                <w:sz w:val="22"/>
              </w:rPr>
              <w:t>Artur</w:t>
            </w:r>
            <w:r>
              <w:rPr>
                <w:rFonts w:ascii="Times New Roman" w:hAnsi="Times New Roman"/>
                <w:b w:val="1"/>
                <w:i w:val="0"/>
                <w:color w:val="000000"/>
                <w:sz w:val="22"/>
              </w:rPr>
              <w:fldChar w:fldCharType="end"/>
            </w:r>
            <w:r>
              <w:rPr>
                <w:rFonts w:ascii="Times New Roman" w:hAnsi="Times New Roman"/>
                <w:b w:val="1"/>
                <w:i w:val="0"/>
                <w:color w:val="000000"/>
                <w:sz w:val="22"/>
              </w:rPr>
              <w:t> </w:t>
            </w:r>
            <w:r>
              <w:rPr>
                <w:rFonts w:ascii="Times New Roman" w:hAnsi="Times New Roman"/>
                <w:b w:val="1"/>
                <w:i w:val="0"/>
                <w:color w:val="000000"/>
                <w:sz w:val="22"/>
              </w:rPr>
              <w:fldChar w:fldCharType="begin"/>
            </w:r>
            <w:r>
              <w:rPr>
                <w:rFonts w:ascii="Times New Roman" w:hAnsi="Times New Roman"/>
                <w:b w:val="1"/>
                <w:i w:val="0"/>
                <w:color w:val="000000"/>
                <w:sz w:val="22"/>
              </w:rPr>
              <w:instrText>MERGEFIELD SIGNATURE_0_0_LASTNAME \* MERGEFORMAT</w:instrText>
            </w:r>
            <w:r>
              <w:rPr>
                <w:rFonts w:ascii="Times New Roman" w:hAnsi="Times New Roman"/>
                <w:b w:val="1"/>
                <w:i w:val="0"/>
                <w:color w:val="000000"/>
                <w:sz w:val="22"/>
              </w:rPr>
              <w:fldChar w:fldCharType="separate"/>
            </w:r>
            <w:r>
              <w:rPr>
                <w:rFonts w:ascii="Times New Roman" w:hAnsi="Times New Roman"/>
                <w:b w:val="1"/>
                <w:i w:val="0"/>
                <w:color w:val="000000"/>
                <w:sz w:val="22"/>
              </w:rPr>
              <w:t>Juhnke</w:t>
            </w:r>
            <w:r>
              <w:rPr>
                <w:rFonts w:ascii="Times New Roman" w:hAnsi="Times New Roman"/>
                <w:b w:val="1"/>
                <w:i w:val="0"/>
                <w:color w:val="000000"/>
                <w:sz w:val="22"/>
              </w:rPr>
              <w:fldChar w:fldCharType="end"/>
            </w:r>
            <w:r>
              <w:rPr>
                <w:rFonts w:ascii="Times New Roman" w:hAnsi="Times New Roman"/>
                <w:b w:val="1"/>
                <w:i w:val="0"/>
                <w:color w:val="000000"/>
                <w:sz w:val="22"/>
              </w:rPr>
              <w:t> </w:t>
            </w:r>
          </w:p>
        </w:tc>
      </w:tr>
    </w:tbl>
    <w:p>
      <w:pPr>
        <w:keepNext w:val="1"/>
        <w:spacing w:before="0" w:after="0" w:beforeAutospacing="0" w:afterAutospacing="0"/>
        <w:rPr>
          <w:rFonts w:ascii="Times New Roman" w:hAnsi="Times New Roman"/>
          <w:b w:val="0"/>
          <w:i w:val="0"/>
          <w:caps w:val="0"/>
          <w:sz w:val="22"/>
          <w:u w:val="none"/>
          <w:vertAlign w:val="baseline"/>
        </w:rPr>
      </w:pPr>
    </w:p>
    <w:sectPr>
      <w:endnotePr>
        <w:numFmt w:val="decimal"/>
      </w:endnotePr>
      <w:type w:val="nextPage"/>
      <w:pgSz w:w="11906" w:h="16838" w:code="0"/>
      <w:pgMar w:left="1020" w:right="1020" w:top="992" w:bottom="992"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shd w:val="clear" w:color="auto" w:fill="auto"/>
        <w:vertAlign w:val="baseline"/>
        <w:lang w:val="pl-PL" w:bidi="pl-PL" w:eastAsia="pl-PL"/>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jc w:val="both"/>
    </w:pPr>
    <w:rPr>
      <w:rFonts w:ascii="Times New Roman" w:hAnsi="Times New Roman"/>
      <w:sz w:val="22"/>
      <w:lang w:val="pl-PL" w:bidi="pl-PL" w:eastAsia="pl-PL"/>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rPr>
      <w:lang w:val="pl-PL" w:bidi="pl-PL" w:eastAsia="pl-PL"/>
    </w:rPr>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category>Akt prawny</cp:category>
  <dc:creator>Frosina</dc:creator>
  <dcterms:created xsi:type="dcterms:W3CDTF">2024-10-31T11:21:43Z</dcterms:created>
  <cp:lastModifiedBy>HOST-13\Frosina</cp:lastModifiedBy>
  <dcterms:modified xsi:type="dcterms:W3CDTF">2024-10-31T10:21:46Z</dcterms:modified>
  <cp:revision>2</cp:revision>
  <dc:subject>w sprawie wyboru metody ustalania opłaty za gospodarowanie odpadami komunalnymi oraz ustalenia wysokości stawki opłaty  za gospodarowanie odpadami komunalnymi</dc:subject>
  <dc:title>Uchwała Nr VII/61/2024 z dnia 30 października 2024 r.</dc:title>
</cp:coreProperties>
</file>