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1092B9" Type="http://schemas.openxmlformats.org/officeDocument/2006/relationships/officeDocument" Target="/word/document.xml" /><Relationship Id="coreR201092B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Nieruchomość przeznaczona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 Zgodnie z art. 13 ust. 1 ustawy o gospodarce nieruchomościami, nieruchomości będące własnością gminy mogą być przedmiotem sprzedaży.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W budynku mieszkalnym położonym przy ul. Tadeusza Kościuszki 7 w Sępólnie Krajeńskim został wyodrębniony jeden lokal mieszkalny, który stanowi własność prywatną. Właściciele lokalu zwrócili się do Gminy Sępólno Krajeńskie o wyrażenie zgody na sprzedaż części udziału w nieruchomości wspólnej.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 Projekt uchwały został zaopiniowany pozytywnie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2024-09-16T12:16:19Z</dcterms:created>
  <cp:lastModifiedBy>HOST-13\Frosina</cp:lastModifiedBy>
  <dcterms:modified xsi:type="dcterms:W3CDTF">2024-09-26T07:03:44Z</dcterms:modified>
  <cp:revision>12</cp:revision>
  <dc:subject>w sprawie sprzedaży części udziału w nieruchomości położonej przy ul. Tadeusza Kościuszki 7 w Sępólnie Krajeńskim</dc:subject>
  <dc:title>Uchwała Nr IV/.../2024 z dnia 25 września 2024 r.</dc:title>
</cp:coreProperties>
</file>