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7CCC1A" Type="http://schemas.openxmlformats.org/officeDocument/2006/relationships/officeDocument" Target="/word/document.xml" /><Relationship Id="coreR697CCC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 art. 18 ust. 2 pkt 9 lit. a ustawy z dnia 8 marca 1990 r. o samorządzie gminnym oraz art. 13 ust. 1 ustawy z dnia 21 sierpnia 1997r. o gospodarce nieruchomościami dla wyrażenia zgody na obciążenie nieruchomości służebnością wymagana jest uchwała Rady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Przeznaczona do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obciążenia</w:t>
      </w:r>
      <w:r>
        <w:rPr>
          <w:rFonts w:ascii="Times New Roman" w:hAnsi="Times New Roman"/>
          <w:b w:val="0"/>
          <w:caps w:val="0"/>
          <w:sz w:val="22"/>
        </w:rPr>
        <w:t xml:space="preserve"> nieruchomość gruntowa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607/1</w:t>
      </w:r>
      <w:r>
        <w:rPr>
          <w:rFonts w:ascii="Times New Roman" w:hAnsi="Times New Roman"/>
          <w:b w:val="0"/>
          <w:caps w:val="0"/>
          <w:sz w:val="22"/>
        </w:rPr>
        <w:t xml:space="preserve"> obręb ewidencyjny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6 Lutowo, gm. </w:t>
      </w:r>
      <w:r>
        <w:rPr>
          <w:rFonts w:ascii="Times New Roman" w:hAnsi="Times New Roman"/>
          <w:b w:val="0"/>
          <w:caps w:val="0"/>
          <w:sz w:val="22"/>
        </w:rPr>
        <w:t xml:space="preserve"> Sępólno Krajeńskie, nie jest położona w obszarze objętym miejscowym planem zagospodarowania przestrzennego.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uchwałą nr XXVIII/261/2021 Rady Miejskiej w Sępólnie Krajeńskim z dnia 27 stycznia 2021 r. w sprawie uchwalenia zmiany Studium uwarunkowań i kierunków zagospodarowania przestrzennego miasta i gminy Sępólno Krajeńskie przedmiotowa nieruchomość gruntowa położona jest na obszarze oznaczonym symbolem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R1</w:t>
      </w:r>
      <w:r>
        <w:rPr>
          <w:rFonts w:ascii="Times New Roman" w:hAnsi="Times New Roman"/>
          <w:b w:val="0"/>
          <w:caps w:val="0"/>
          <w:sz w:val="22"/>
        </w:rPr>
        <w:t xml:space="preserve"> określonym jako obszary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rolne.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Nieruchomość zostanie obciążona służebnością gruntową przejazdu i przechodu na rzecz każdoczesnego właściciela lub użytkownika wieczystego działki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30</w:t>
      </w:r>
      <w:r>
        <w:rPr>
          <w:rFonts w:ascii="Times New Roman" w:hAnsi="Times New Roman"/>
          <w:b w:val="0"/>
          <w:caps w:val="0"/>
          <w:sz w:val="22"/>
        </w:rPr>
        <w:t xml:space="preserve"> obręb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6 Lutowo</w:t>
      </w:r>
      <w:r>
        <w:rPr>
          <w:rFonts w:ascii="Times New Roman" w:hAnsi="Times New Roman"/>
          <w:b w:val="0"/>
          <w:caps w:val="0"/>
          <w:sz w:val="22"/>
        </w:rPr>
        <w:t xml:space="preserve">, w celu zapewnienia przejścia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i przejazdu dla działki </w:t>
      </w:r>
      <w:r>
        <w:rPr>
          <w:rFonts w:ascii="Times New Roman" w:hAnsi="Times New Roman"/>
          <w:b w:val="0"/>
          <w:caps w:val="0"/>
          <w:sz w:val="22"/>
        </w:rPr>
        <w:t xml:space="preserve">będącej własnością prywatną.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zaopiniowany pozytywnie przez Komisję Gospodarki Komunalnej oraz Porządku Publicznego Rady Miejskiej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/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MERGEFIELD SIGNATURE_0_0__FUNCTION \* MERGEFORMAT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Przewodniczący Rady Miejskiej</w:t>
            </w:r>
            <w:r>
              <w:fldChar w:fldCharType="end"/>
            </w:r>
            <w:r>
              <w:rPr>
                <w:shd w:val="clear" w:color="auto" w:fill="FFFFFF"/>
              </w:rPr>
              <w:br w:type="textWrapping"/>
              <w:br w:type="textWrapping"/>
              <w:br w:type="textWrapping"/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SIGNATURE_0_0_TITLE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inż.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SIGNATURE_0_0_FIRSTNAME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Franciszek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SIGNATURE_0_0_LASTNAME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Lesinski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2023-01-05T10:03:39Z</dcterms:created>
  <cp:lastModifiedBy>HOST-13\Frosina</cp:lastModifiedBy>
  <dcterms:modified xsi:type="dcterms:W3CDTF">2023-01-26T10:17:14Z</dcterms:modified>
  <cp:revision>22</cp:revision>
  <dc:subject>w sprawie</dc:subject>
  <dc:title>Uchwała Nr LIII/.../2023 z dnia 25 stycznia 2023 r.</dc:title>
</cp:coreProperties>
</file>