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4359BF8" Type="http://schemas.openxmlformats.org/officeDocument/2006/relationships/officeDocument" Target="/word/document.xml" /><Relationship Id="coreR54359BF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Załącznik do uchwały Nr V/41/2024</w:t>
        <w:br w:type="textWrapping"/>
        <w:t>Rady Miejskiej w Sępólnie Krajeńskim</w:t>
        <w:br w:type="textWrapping"/>
        <w:t>z dnia 28 sierpnia 2024 r.</w:t>
      </w:r>
    </w:p>
    <w:p>
      <w:pPr>
        <w:keepNext w:val="0"/>
        <w:keepLines w:val="0"/>
        <w:spacing w:lineRule="auto" w:line="360" w:before="120" w:after="12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W dniu 17 czerwca 2024 r. wpłynęła do Urzędu Miejskiego w Sępólnie Krajeńskim anonimowa skarga na Dyrektora Szkoły Podstawowej Nr 1 w Sępólnie Krajeńskim.  Zgodnie z art. 229 pkt 3 ustawy z dnia 14 czerwca 1960 r. Kodeks postępowania administracyjnego (t.j. Dz.U. z 2024 r., poz.572, ze zm.) organem właściwym do rozpatrzenia skargi na kierownika gminnej jednostki organizacyjnej jest Rada Miejska. Mając na względzie art. 18 b ust. 1 ustawy z dnia 8 marca 1990 r. o samorządzie gminnym (tj. Dz.U. z 2024 r. poz. 609) skargę skierowano do Komisji Skarg, Wniosków i Petycji Rady Miejskiej.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Komisja Skarg , Wniosków i Petycji na swoim posiedzeniu w dniu 9 sierpnia 2024 r. poddała skargę ocenie pod względem formalnym: stwierdzono brak adresu nadawcy i imienia i nazwiska skarżącego.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Zgodnie z § 8 ust. 1 rozporządzenia Rady Ministrów z dnia 8 stycznia 2002 r. w sprawie organizacji przyjmowania i rozpatrywania skarg i wniosków (Dz. U. z 2002 r. Nr 5 poz. 46)  „skargi i wnioski niezawierające imienia i nazwiska (nazwy) oraz adresu wnoszącego pozostawia się bez rozpoznania”.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związku z powyższym Komisja nie odniosła się do zarzutów merytorycznych i rekomenduje Radzie Miejskiej pozostawienie skargi bez rozpoznania.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Biorąc pod uwagę argumentację Komisji, Rada Miejska w Sępólnie Krajeńskim, pozostawia skargę bez rozpoznania, tym samym nie odnosząc się do kwestii merytorycznych.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2024-08-29T10:59:37Z</dcterms:created>
  <cp:lastModifiedBy>HOST-13\Frosina</cp:lastModifiedBy>
  <dcterms:modified xsi:type="dcterms:W3CDTF">2024-08-29T08:59:45Z</dcterms:modified>
  <cp:revision>2</cp:revision>
  <dc:subject>w sprawie pozostawienia bez rozpoznania anonimowej skargi</dc:subject>
  <dc:title>Uchwała Nr V/41/2024 z dnia 28 sierpnia 2024 r.</dc:title>
</cp:coreProperties>
</file>