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B1D1E1C" Type="http://schemas.openxmlformats.org/officeDocument/2006/relationships/officeDocument" Target="/word/document.xml" /><Relationship Id="coreR1B1D1E1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Zmiana uchwały Nr XXVI/236/2020 Rady Miejskiej w Sępólnie Krajeńskim z dnia 25 listopada 2020 r. w sprawie wyznaczenia obszaru i granic aglomeracji Sępólno Krajeńskie (Dz. Urz. Woj. Kuj.-Pom. z 2020 r., poz. 5794) wystąpiła w wyniku przeglądu obszarów i granic aglomeracji, na skutek istotnej zmiany ilości RLM aglomeracji, na który głównie wpłynęła zmiana w zakresie RLM pochodzącego od przemysłu na obszarze aglomeracji Sępólno Krajeńskie. Ponadto zmniejszeniu uległa ilość RLM korzytających ze zbiorników bezodpływowych na skutek wyłączenia z obszaru aglomeracji części miejscowości Piaseczno, Sikorz oraz Siedlisko (Niechorz). Tereny te są obsługiwane przez zbiorniki bezodpływowe ze względu na brak sieci kanalizacyjnej. Budowa sieci kanalizacji na wyłączonych terenach jest nieuzasadniona ze względu na zbyt mały przyrost RLM na skutek czego nie jest możliwe uzyskanie wskaźnika koncentracji na poziomie 120 osób/km sieci.</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Dotychczasowy producent ścieków przemysłowych, którym był Zakład Mleczarski Sp. z o.o. w Zalesiu, od 2023 roku nie generuje już RLM pochodzącego od przemysłu na obszarze aglomeracji Sępólno Krajeńskie. Z obszaru aglomeracji nie wyłączono działki ww. zakładu mleczarskiego, a jedynie z uwagi na wyżej wymienione okoliczności usunięto RLM pochodzący od przemysłu.</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Zmiana długości sieci spowodowana jest wybudowaniem sieci kanalizacji sanitarnej w Sępólnie Krajeńskim (bloki Odrodzenia, hotel Antares) o długości 0,250 km.</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Ponadto z obszaru aglomeracji wyłączono nieruchomości obsługiwane przez przydomowe oczyszczalnie ścieków, tj.:</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 ul. Topolowa 1, dz. nr 889 obręb ewidencyjny: 0003, Sępólno Kraj. 3, jednostka ewidencyjna: 041302_4, Sępólno Krajeńskie - M,</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 ul. Topolowa 5, dz. nr 887 obręb ewidencyjny: 0003, Sępólno Kraj. 3, jednostka ewidencyjna: 041302_4, Sępólno Krajeńskie - M,</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 Piaseczno 39, dz. nr 14/3 obręb ewidencyjny: 0009, Piaseczno, jednostka ewidencyjna: 041302_5, Sępólno Krajeńskie - G.</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z w:val="22"/>
          <w:vertAlign w:val="baseline"/>
        </w:rPr>
        <w:t xml:space="preserve">Opis rozwiązania problemu gospodarki ściekowej na terenach, które zostaną wyłączone z obszaru aglomeracji na podstawie art. 87 ust. 8 pkt 1) </w:t>
      </w:r>
      <w:r>
        <w:rPr>
          <w:rFonts w:ascii="Times New Roman" w:hAnsi="Times New Roman"/>
          <w:b w:val="0"/>
          <w:i w:val="1"/>
          <w:caps w:val="0"/>
          <w:strike w:val="0"/>
          <w:color w:val="000000"/>
          <w:sz w:val="22"/>
          <w:u w:val="none" w:color="000000"/>
          <w:vertAlign w:val="baseline"/>
        </w:rPr>
        <w:t>ustawy Prawo wodne</w:t>
      </w:r>
      <w:r>
        <w:rPr>
          <w:rFonts w:ascii="Times New Roman" w:hAnsi="Times New Roman"/>
          <w:b w:val="0"/>
          <w:i w:val="0"/>
          <w:caps w:val="0"/>
          <w:strike w:val="0"/>
          <w:color w:val="000000"/>
          <w:sz w:val="22"/>
          <w:u w:val="none" w:color="000000"/>
          <w:vertAlign w:val="baseline"/>
        </w:rPr>
        <w:t xml:space="preserve">: ul. Topolowa 1, ul. Topolowa 5, Piaseczno 39 w dalszym ciągu obsługiwane będą przez przydomowe oczyszczalnie ścieków. Z terenu aglomeracji nie wyłączono działek ze zbiornikami bezodpływowymi. Na terenie aglomeracji znajduje się punkt zlewny zlokalizowany przy gminnej oczyszczalni ścieków w miejscowości Sikorz (Id oczyszczalni PLKP0270) do którego trafiają osady z POŚ w tym z ul. Topolowa 1, ul. Topolowa 5, Piaseczno 39  oraz ścieki ze zbiorników bezodpływowych. </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Szczegółowa informacja dotycząca pomocy finansowej na realizację przedsięwzięcia w zakresie budowy, rozbudowy i modernizacji urządzeń kanalizacyjnych ze środków budżetu państwa oraz ze środków pochodzących z funduszy Unii Europejskiej otrzymanej w okresie 5 lat od zrealizowania przedsięwzięcia ujętego w zestawieniu, o którym mowa w art. 88 ust. 1 ustawy z dnia 20 lipca 2017 r. Prawo wodne (Dz. U. z 2024 r. 1087 i poz. 1089): na obszary wyłączone z terenu aglomeracji nie pozyskano pomocy finansowej.</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Aglomeracja Sępólno Krajeńskie wypełnia warunki Dyrektywy Rady z dnia 21 maja 1991 r. dotyczącej oczyszczania ścieków komunalnych (Dz. U. UE. L. z 1991 r. Nr 135, str. 40 z późn. zm.).</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 xml:space="preserve">W  zakresie warunku I, o którym mowa w art. 3 Dyrektywy Ściekowej oraz w art. 87a pkt 1 i pkt 2 ustawy Prawo wodne,  aglomeracja wyposażona jest w sieć kanalizacyjną gwarantującą zbieranie 99,20% ładunku zanieczyszczeń z obszaru aglomeracji wyrażonego w równoważnej liczbie mieszkańców. Ładunek zanieczyszczeń niezebrany siecią kanalizacyjną wynosi 89 RLM i stanowi ok. 0,8% ładunku zanieczyszczeń z obszaru aglomeracji.</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Aglomeracja spełnia także warunek II, o którym mowa w art. 10 Dyrektywy Ściekowej oraz w art. 87a pkt 3 ustawy Prawo wodne, wydajność oczyszczalni ścieków dostosowana do odbioru 100% ładunku zanieczyszczeń powstających w aglomeracji.</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W zakresie warunku III, o którym mowa w art. 5 ust. 2 Dyrektywy Ściekowej oraz w art. 87a pkt 4 ustawy Prawo wodne, oczyszczalnia ścieków w Sikorzu jest obiektem mechaniczno-biologicznym z technologią opartą na metodzie osadu czynnego pracującego w systemie wielofazowego zintegrowanego usuwania związków węgla, azotu i fosforu, gwarantuje osiągnięcie wymaganych przepisami powszechnie obowiązującymi standardów oczyszczania ścieków dla oczyszczalni ścieków w aglomeracji o określonej wielkości wyrażonej równoważną liczbą mieszkańców.</w:t>
      </w:r>
    </w:p>
    <w:p>
      <w:pPr>
        <w:keepNext w:val="0"/>
        <w:keepLines w:val="0"/>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Zmiana aglomeracji następuje po uzgodnieniu projektu uchwały z Regionalnym Dyrektorem Ochrony Środowiska oraz Dyrektorem Regionalnego Zarządu Gospodarki Wodnej.</w:t>
      </w:r>
    </w:p>
    <w:p>
      <w:pPr>
        <w:keepNext w:val="1"/>
        <w:keepLines w:val="1"/>
        <w:spacing w:lineRule="auto" w:line="240" w:before="120" w:after="120" w:beforeAutospacing="0" w:afterAutospacing="0"/>
        <w:ind w:firstLine="227" w:left="0" w:right="0"/>
        <w:jc w:val="both"/>
        <w:rPr>
          <w:rFonts w:ascii="Times New Roman" w:hAnsi="Times New Roman"/>
          <w:b w:val="0"/>
          <w:i w:val="0"/>
          <w:caps w:val="0"/>
          <w:strike w:val="0"/>
          <w:color w:val="000000"/>
          <w:sz w:val="22"/>
          <w:u w:val="none" w:color="000000"/>
          <w:vertAlign w:val="baseline"/>
        </w:rPr>
      </w:pPr>
      <w:r>
        <w:rPr>
          <w:rFonts w:ascii="Times New Roman" w:hAnsi="Times New Roman"/>
          <w:b w:val="0"/>
          <w:i w:val="0"/>
          <w:caps w:val="0"/>
          <w:strike w:val="0"/>
          <w:color w:val="000000"/>
          <w:sz w:val="22"/>
          <w:u w:val="none" w:color="000000"/>
          <w:vertAlign w:val="baseline"/>
        </w:rPr>
        <w:t>Projekt uchwały został przedstawiony na posiedzeniu Komisji Gospodarki Komunalnej oraz Porządku Publicznego Rady Miejskiej w Sępólnie Krajeńskim i został zaopiniowany pozytywnie.</w:t>
      </w:r>
    </w:p>
    <w:p>
      <w:pPr>
        <w:keepNext w:val="1"/>
        <w:spacing w:before="0" w:after="0" w:beforeAutospacing="0" w:afterAutospacing="0"/>
        <w:rPr>
          <w:rFonts w:ascii="Times New Roman" w:hAnsi="Times New Roman"/>
          <w:b w:val="0"/>
          <w:i w:val="0"/>
          <w:caps w:val="0"/>
          <w:strike w:val="0"/>
          <w:color w:val="000000"/>
          <w:sz w:val="22"/>
          <w:u w:val="none" w:color="000000"/>
          <w:vertAlign w:val="baseline"/>
        </w:rPr>
      </w:pPr>
      <w:r>
        <w:rPr>
          <w:b w:val="0"/>
          <w:i w:val="0"/>
          <w:color w:val="000000"/>
          <w:u w:val="none"/>
          <w:vertAlign w:val="baseline"/>
        </w:rPr>
        <w:t> </w:t>
      </w:r>
    </w:p>
    <w:tbl>
      <w:tblPr>
        <w:tblLayout w:type="fixed"/>
        <w:tblCellMar>
          <w:top w:w="0" w:type="dxa"/>
          <w:left w:w="0" w:type="dxa"/>
          <w:bottom w:w="0" w:type="dxa"/>
          <w:right w:w="0" w:type="dxa"/>
        </w:tblCellMar>
      </w:tblPr>
      <w:tblGrid/>
      <w:tr>
        <w:tblPrEx>
          <w:tblW w:w="5000" w:type="pct"/>
          <w:tblCellMar>
            <w:top w:w="0" w:type="dxa"/>
            <w:left w:w="0" w:type="dxa"/>
            <w:bottom w:w="0" w:type="dxa"/>
            <w:right w:w="0" w:type="dxa"/>
          </w:tblCellMar>
        </w:tblPrEx>
        <w:tc>
          <w:tcPr>
            <w:tcW w:w="4935" w:type="dxa"/>
            <w:noWrap w:val="0"/>
            <w:tcMar>
              <w:top w:w="0" w:type="dxa"/>
              <w:left w:w="0" w:type="dxa"/>
              <w:bottom w:w="0" w:type="dxa"/>
              <w:right w:w="0" w:type="dxa"/>
            </w:tcMar>
            <w:vAlign w:val="top"/>
            <w:hideMark/>
          </w:tcPr>
          <w:p>
            <w:pPr>
              <w:jc w:val="left"/>
              <w:rPr>
                <w:rFonts w:ascii="Times New Roman" w:hAnsi="Times New Roman"/>
                <w:b w:val="0"/>
                <w:i w:val="0"/>
                <w:color w:val="000000"/>
                <w:sz w:val="22"/>
              </w:rPr>
            </w:pPr>
          </w:p>
        </w:tc>
        <w:tc>
          <w:tcPr>
            <w:tcW w:w="4935" w:type="dxa"/>
            <w:noWrap w:val="0"/>
            <w:tcMar>
              <w:top w:w="0" w:type="dxa"/>
              <w:left w:w="0" w:type="dxa"/>
              <w:bottom w:w="0" w:type="dxa"/>
              <w:right w:w="0" w:type="dxa"/>
            </w:tcMar>
            <w:vAlign w:val="top"/>
            <w:hideMark/>
          </w:tcPr>
          <w:p>
            <w:pPr>
              <w:keepNext w:val="1"/>
              <w:keepLines w:val="1"/>
              <w:spacing w:before="560" w:after="560" w:beforeAutospacing="0" w:afterAutospacing="0"/>
              <w:ind w:firstLine="0" w:left="1134" w:right="1134"/>
              <w:jc w:val="center"/>
              <w:rPr>
                <w:rFonts w:ascii="Times New Roman" w:hAnsi="Times New Roman"/>
                <w:b w:val="1"/>
                <w:i w:val="0"/>
                <w:color w:val="000000"/>
                <w:sz w:val="22"/>
              </w:rPr>
            </w:pPr>
            <w:r>
              <w:rPr>
                <w:rFonts w:ascii="Times New Roman" w:hAnsi="Times New Roman"/>
                <w:b w:val="0"/>
                <w:i w:val="0"/>
                <w:color w:val="000000"/>
                <w:sz w:val="22"/>
              </w:rPr>
              <w:fldChar w:fldCharType="begin"/>
            </w:r>
            <w:r>
              <w:rPr>
                <w:rFonts w:ascii="Times New Roman" w:hAnsi="Times New Roman"/>
                <w:b w:val="0"/>
                <w:i w:val="0"/>
                <w:color w:val="000000"/>
                <w:sz w:val="22"/>
              </w:rPr>
              <w:instrText>MERGEFIELD SIGNATURE_0_0__FUNCTION \* MERGEFORMAT</w:instrText>
            </w:r>
            <w:r>
              <w:rPr>
                <w:rFonts w:ascii="Times New Roman" w:hAnsi="Times New Roman"/>
                <w:b w:val="0"/>
                <w:i w:val="0"/>
                <w:color w:val="000000"/>
                <w:sz w:val="22"/>
              </w:rPr>
              <w:fldChar w:fldCharType="separate"/>
            </w:r>
            <w:r>
              <w:rPr>
                <w:rFonts w:ascii="Times New Roman" w:hAnsi="Times New Roman"/>
                <w:b w:val="0"/>
                <w:i w:val="0"/>
                <w:color w:val="000000"/>
                <w:sz w:val="22"/>
              </w:rPr>
              <w:t>Przewodniczący Rady Miejskiej</w:t>
            </w:r>
            <w:r>
              <w:rPr>
                <w:rFonts w:ascii="Times New Roman" w:hAnsi="Times New Roman"/>
                <w:b w:val="0"/>
                <w:i w:val="0"/>
                <w:color w:val="000000"/>
                <w:sz w:val="22"/>
              </w:rPr>
              <w:fldChar w:fldCharType="end"/>
            </w:r>
            <w:r>
              <w:rPr>
                <w:rFonts w:ascii="Times New Roman" w:hAnsi="Times New Roman"/>
                <w:b w:val="0"/>
                <w:i w:val="0"/>
                <w:color w:val="000000"/>
                <w:sz w:val="22"/>
              </w:rPr>
              <w:br w:type="textWrapping"/>
              <w:br w:type="textWrapping"/>
              <w:br w:type="textWrapping"/>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SIGNATURE_0_0_FIRSTNAME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Artur</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SIGNATURE_0_0_LASTNAME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Juhnke</w:t>
            </w:r>
            <w:r>
              <w:rPr>
                <w:rFonts w:ascii="Times New Roman" w:hAnsi="Times New Roman"/>
                <w:b w:val="1"/>
                <w:i w:val="0"/>
                <w:color w:val="000000"/>
                <w:sz w:val="22"/>
              </w:rPr>
              <w:fldChar w:fldCharType="end"/>
            </w:r>
            <w:r>
              <w:rPr>
                <w:rFonts w:ascii="Times New Roman" w:hAnsi="Times New Roman"/>
                <w:b w:val="1"/>
                <w:i w:val="0"/>
                <w:color w:val="000000"/>
                <w:sz w:val="22"/>
              </w:rPr>
              <w:t> </w:t>
            </w:r>
          </w:p>
        </w:tc>
      </w:tr>
    </w:tbl>
    <w:p>
      <w:pPr>
        <w:keepNext w:val="1"/>
        <w:spacing w:before="0" w:after="0" w:beforeAutospacing="0" w:afterAutospacing="0"/>
        <w:rPr>
          <w:rFonts w:ascii="Times New Roman" w:hAnsi="Times New Roman"/>
          <w:b w:val="0"/>
          <w:i w:val="0"/>
          <w:caps w:val="0"/>
          <w:strike w:val="0"/>
          <w:color w:val="000000"/>
          <w:sz w:val="22"/>
          <w:u w:val="none" w:color="000000"/>
          <w:vertAlign w:val="baseline"/>
        </w:rPr>
      </w:pPr>
    </w:p>
    <w:sectPr>
      <w:endnotePr>
        <w:numFmt w:val="decimal"/>
      </w:endnotePr>
      <w:type w:val="nextPage"/>
      <w:pgSz w:w="11906" w:h="16838" w:code="0"/>
      <w:pgMar w:left="1020" w:right="1020" w:top="1417"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Frosina</dc:creator>
  <dcterms:created xsi:type="dcterms:W3CDTF">2024-08-29T10:39:03Z</dcterms:created>
  <cp:lastModifiedBy>HOST-13\Frosina</cp:lastModifiedBy>
  <dcterms:modified xsi:type="dcterms:W3CDTF">2024-08-29T08:39:49Z</dcterms:modified>
  <cp:revision>3</cp:revision>
  <dc:subject>w sprawie zmiany uchwały w sprawie wyznaczenia obszaru i granic aglomeracji Sępólno Krajeńskie</dc:subject>
  <dc:title>Uchwała Nr V/39/2024 z dnia 28 sierpnia 2024 r.</dc:title>
</cp:coreProperties>
</file>