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E98FC7" Type="http://schemas.openxmlformats.org/officeDocument/2006/relationships/officeDocument" Target="/word/document.xml" /><Relationship Id="coreR2AE98FC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Minister Finansów określił obowiązek sporządzania bilansu skonsolidowanego jednostki samorządu terytorialnego, zgodnie z przepisami ustawy z dnia 29 września 1994r. o rachunkowości. Bilans ten podlega zatwierdzeniu przez organ zatwierdzający nie później niż 6 miesięcy od dnia, na który jest on sporządzany. Organem zatwierdzającym, o którym mowa w ustawie jest w przypadku Gminy Sępólno Krajeńskie – Rada Miejska w Sępólnie Krajeńskim. Bilans skonsolidowany został sporządzony zgodnie z wytycznymi, w oparciu o bilanse jednostkowe wszystkich jednostek powiązanych Gminy oraz bilans z wykonania budżetu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został przedstawiony na Komisji Budżetu Rady Miejskiej w Sępólnie Krajeńskim i uzyskał  jej akceptację.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2024-09-02T10:54:27Z</dcterms:created>
  <cp:lastModifiedBy>HOST-13\Frosina</cp:lastModifiedBy>
  <dcterms:modified xsi:type="dcterms:W3CDTF">2024-09-02T08:54:50Z</dcterms:modified>
  <cp:revision>2</cp:revision>
  <dc:subject>w sprawie zatwierdzenia skonsolidowanego bilansu Gminy Sępólno Krajeńskie za 2023 rok</dc:subject>
  <dc:title>Uchwała Nr V/32/2024 z dnia 28 sierpnia 2024 r.</dc:title>
</cp:coreProperties>
</file>